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sz w:val="84"/>
          <w:szCs w:val="84"/>
          <w:highlight w:val="none"/>
        </w:rPr>
        <w:t>2019年度部门决算公开</w:t>
      </w:r>
    </w:p>
    <w:p>
      <w:pPr>
        <w:widowControl/>
        <w:jc w:val="center"/>
        <w:rPr>
          <w:rFonts w:hint="eastAsia" w:ascii="仿宋" w:hAnsi="仿宋" w:eastAsia="仿宋" w:cs="仿宋"/>
          <w:color w:val="002060"/>
          <w:sz w:val="72"/>
          <w:szCs w:val="72"/>
          <w:highlight w:val="none"/>
        </w:rPr>
      </w:pPr>
    </w:p>
    <w:p>
      <w:pPr>
        <w:widowControl/>
        <w:jc w:val="center"/>
        <w:rPr>
          <w:rFonts w:hint="eastAsia" w:ascii="仿宋" w:hAnsi="仿宋" w:eastAsia="仿宋" w:cs="仿宋"/>
          <w:b/>
          <w:sz w:val="72"/>
          <w:szCs w:val="72"/>
          <w:highlight w:val="none"/>
        </w:rPr>
      </w:pPr>
    </w:p>
    <w:p>
      <w:pPr>
        <w:widowControl/>
        <w:jc w:val="center"/>
        <w:rPr>
          <w:rFonts w:hint="eastAsia" w:ascii="仿宋" w:hAnsi="仿宋" w:eastAsia="仿宋" w:cs="仿宋"/>
          <w:b/>
          <w:sz w:val="72"/>
          <w:szCs w:val="72"/>
          <w:highlight w:val="none"/>
        </w:rPr>
      </w:pPr>
    </w:p>
    <w:p>
      <w:pPr>
        <w:widowControl/>
        <w:jc w:val="center"/>
        <w:rPr>
          <w:rFonts w:hint="eastAsia" w:ascii="仿宋" w:hAnsi="仿宋" w:eastAsia="仿宋" w:cs="仿宋"/>
          <w:b/>
          <w:sz w:val="72"/>
          <w:szCs w:val="72"/>
          <w:highlight w:val="none"/>
        </w:rPr>
      </w:pPr>
    </w:p>
    <w:p>
      <w:pPr>
        <w:widowControl/>
        <w:rPr>
          <w:rFonts w:hint="eastAsia" w:ascii="仿宋" w:hAnsi="仿宋" w:eastAsia="仿宋" w:cs="仿宋"/>
          <w:b/>
          <w:sz w:val="72"/>
          <w:szCs w:val="72"/>
          <w:highlight w:val="none"/>
        </w:rPr>
      </w:pPr>
    </w:p>
    <w:p>
      <w:pPr>
        <w:widowControl/>
        <w:ind w:firstLine="2871" w:firstLineChars="650"/>
        <w:rPr>
          <w:rFonts w:hint="eastAsia" w:ascii="仿宋" w:hAnsi="仿宋" w:eastAsia="仿宋" w:cs="仿宋"/>
          <w:b/>
          <w:sz w:val="44"/>
          <w:szCs w:val="44"/>
          <w:highlight w:val="none"/>
        </w:rPr>
      </w:pPr>
      <w:r>
        <w:rPr>
          <w:rFonts w:hint="eastAsia" w:ascii="仿宋" w:hAnsi="仿宋" w:eastAsia="仿宋" w:cs="仿宋"/>
          <w:b/>
          <w:sz w:val="44"/>
          <w:szCs w:val="44"/>
          <w:highlight w:val="none"/>
        </w:rPr>
        <w:t>霸州市</w:t>
      </w:r>
      <w:r>
        <w:rPr>
          <w:rFonts w:hint="eastAsia" w:ascii="仿宋" w:hAnsi="仿宋" w:eastAsia="仿宋" w:cs="仿宋"/>
          <w:b/>
          <w:sz w:val="44"/>
          <w:szCs w:val="44"/>
          <w:highlight w:val="none"/>
          <w:lang w:val="en-US" w:eastAsia="zh-CN"/>
        </w:rPr>
        <w:t>信访局</w:t>
      </w:r>
    </w:p>
    <w:p>
      <w:pPr>
        <w:widowControl/>
        <w:ind w:firstLine="2871" w:firstLineChars="650"/>
        <w:rPr>
          <w:rFonts w:hint="eastAsia" w:ascii="仿宋" w:hAnsi="仿宋" w:eastAsia="仿宋" w:cs="仿宋"/>
          <w:b/>
          <w:sz w:val="44"/>
          <w:szCs w:val="44"/>
          <w:highlight w:val="none"/>
        </w:rPr>
        <w:sectPr>
          <w:pgSz w:w="11906" w:h="16838"/>
          <w:pgMar w:top="2098" w:right="1474" w:bottom="1985" w:left="1588" w:header="851" w:footer="992" w:gutter="0"/>
          <w:cols w:space="425" w:num="1"/>
          <w:docGrid w:type="lines" w:linePitch="312" w:charSpace="0"/>
        </w:sectPr>
      </w:pPr>
      <w:r>
        <w:rPr>
          <w:rFonts w:hint="eastAsia" w:ascii="仿宋" w:hAnsi="仿宋" w:eastAsia="仿宋" w:cs="仿宋"/>
          <w:b/>
          <w:sz w:val="44"/>
          <w:szCs w:val="44"/>
          <w:highlight w:val="none"/>
        </w:rPr>
        <w:t>二〇二〇年九月</w:t>
      </w:r>
    </w:p>
    <w:p>
      <w:pPr>
        <w:spacing w:beforeLines="200" w:after="0" w:line="1000" w:lineRule="exact"/>
        <w:jc w:val="center"/>
        <w:rPr>
          <w:rFonts w:hint="eastAsia" w:ascii="仿宋" w:hAnsi="仿宋" w:eastAsia="仿宋" w:cs="仿宋"/>
          <w:sz w:val="48"/>
          <w:szCs w:val="48"/>
          <w:highlight w:val="none"/>
        </w:rPr>
      </w:pPr>
      <w:r>
        <w:rPr>
          <w:rFonts w:hint="eastAsia" w:ascii="仿宋" w:hAnsi="仿宋" w:eastAsia="仿宋" w:cs="仿宋"/>
          <w:sz w:val="48"/>
          <w:szCs w:val="48"/>
          <w:highlight w:val="none"/>
        </w:rPr>
        <w:t>目    录</w:t>
      </w:r>
    </w:p>
    <w:p>
      <w:pPr>
        <w:widowControl/>
        <w:spacing w:line="580" w:lineRule="exact"/>
        <w:ind w:firstLine="640" w:firstLineChars="200"/>
        <w:rPr>
          <w:rFonts w:hint="eastAsia" w:ascii="仿宋" w:hAnsi="仿宋" w:eastAsia="仿宋" w:cs="仿宋"/>
          <w:sz w:val="32"/>
          <w:szCs w:val="32"/>
          <w:highlight w:val="none"/>
        </w:rPr>
      </w:pPr>
    </w:p>
    <w:p>
      <w:pPr>
        <w:widowControl/>
        <w:spacing w:line="580" w:lineRule="exact"/>
        <w:ind w:firstLine="640" w:firstLineChars="200"/>
        <w:rPr>
          <w:rFonts w:hint="eastAsia" w:ascii="仿宋" w:hAnsi="仿宋" w:eastAsia="仿宋" w:cs="仿宋"/>
          <w:sz w:val="24"/>
          <w:szCs w:val="32"/>
          <w:highlight w:val="none"/>
        </w:rPr>
      </w:pPr>
      <w:r>
        <w:rPr>
          <w:rFonts w:hint="eastAsia" w:ascii="仿宋" w:hAnsi="仿宋" w:eastAsia="仿宋" w:cs="仿宋"/>
          <w:sz w:val="32"/>
          <w:szCs w:val="32"/>
          <w:highlight w:val="none"/>
        </w:rPr>
        <w:t>第一部分  部门概况</w:t>
      </w:r>
    </w:p>
    <w:p>
      <w:pPr>
        <w:widowControl/>
        <w:spacing w:line="580" w:lineRule="exact"/>
        <w:ind w:firstLine="1273" w:firstLineChars="398"/>
        <w:rPr>
          <w:rFonts w:hint="eastAsia" w:ascii="仿宋" w:hAnsi="仿宋" w:eastAsia="仿宋" w:cs="仿宋"/>
          <w:sz w:val="32"/>
          <w:szCs w:val="32"/>
          <w:highlight w:val="none"/>
        </w:rPr>
      </w:pPr>
      <w:r>
        <w:rPr>
          <w:rFonts w:hint="eastAsia" w:ascii="仿宋" w:hAnsi="仿宋" w:eastAsia="仿宋" w:cs="仿宋"/>
          <w:sz w:val="32"/>
          <w:szCs w:val="32"/>
          <w:highlight w:val="none"/>
        </w:rPr>
        <w:t>一、部门职责</w:t>
      </w:r>
    </w:p>
    <w:p>
      <w:pPr>
        <w:widowControl/>
        <w:spacing w:line="580" w:lineRule="exact"/>
        <w:ind w:firstLine="1273" w:firstLineChars="398"/>
        <w:rPr>
          <w:rFonts w:hint="eastAsia" w:ascii="仿宋" w:hAnsi="仿宋" w:eastAsia="仿宋" w:cs="仿宋"/>
          <w:sz w:val="32"/>
          <w:szCs w:val="32"/>
          <w:highlight w:val="none"/>
        </w:rPr>
      </w:pPr>
      <w:r>
        <w:rPr>
          <w:rFonts w:hint="eastAsia" w:ascii="仿宋" w:hAnsi="仿宋" w:eastAsia="仿宋" w:cs="仿宋"/>
          <w:sz w:val="32"/>
          <w:szCs w:val="32"/>
          <w:highlight w:val="none"/>
        </w:rPr>
        <w:t>二、机构设置</w:t>
      </w:r>
    </w:p>
    <w:p>
      <w:pPr>
        <w:widowControl/>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2019年部门决算情况说明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一、收入支出决算总体情况说明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二、收入决算情况说明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三、支出决算情况说明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四、财政拨款收入支出决算总体情况说明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五、一般公共预算 “三公”经费支出决算情况说明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六、预算绩效情况说明</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七、其他重要事项的说明</w:t>
      </w:r>
    </w:p>
    <w:p>
      <w:pPr>
        <w:widowControl/>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名词解释</w:t>
      </w:r>
    </w:p>
    <w:p>
      <w:pPr>
        <w:widowControl/>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2019年度部门决算报表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一、收入支出决算总表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二、收入决算表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三、支出决算表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四、财政拨款收入支出决算总表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五、一般公共预算财政拨款支出决算表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六、一般公共预算财政拨款基本支出决算表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七、一般公共预算财政拨款“三公”经费支出决算表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八、政府性基金预算财政拨款收入支出决算表</w:t>
      </w:r>
    </w:p>
    <w:p>
      <w:pPr>
        <w:widowControl/>
        <w:spacing w:line="580" w:lineRule="exact"/>
        <w:ind w:left="64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九、国有资本经营预算财政拨款支出决算表</w:t>
      </w: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rPr>
          <w:rFonts w:hint="eastAsia" w:ascii="仿宋" w:hAnsi="仿宋" w:eastAsia="仿宋" w:cs="仿宋"/>
          <w:highlight w:val="none"/>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color w:val="000000" w:themeColor="text1"/>
          <w:sz w:val="96"/>
          <w:szCs w:val="96"/>
          <w:highlight w:val="none"/>
          <w14:textFill>
            <w14:solidFill>
              <w14:schemeClr w14:val="tx1"/>
            </w14:solidFill>
          </w14:textFill>
        </w:rPr>
        <w:t>第一部分  部门概况</w:t>
      </w: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jc w:val="center"/>
        <w:rPr>
          <w:rFonts w:hint="eastAsia" w:ascii="仿宋" w:hAnsi="仿宋" w:eastAsia="仿宋" w:cs="仿宋"/>
          <w:color w:val="000000" w:themeColor="text1"/>
          <w:sz w:val="96"/>
          <w:szCs w:val="96"/>
          <w:highlight w:val="none"/>
          <w14:textFill>
            <w14:solidFill>
              <w14:schemeClr w14:val="tx1"/>
            </w14:solidFill>
          </w14:textFill>
        </w:rPr>
      </w:pPr>
    </w:p>
    <w:p>
      <w:pPr>
        <w:pStyle w:val="2"/>
        <w:spacing w:before="0" w:after="0" w:line="600" w:lineRule="exact"/>
        <w:ind w:firstLine="640" w:firstLineChars="200"/>
        <w:jc w:val="left"/>
        <w:rPr>
          <w:rFonts w:hint="eastAsia" w:ascii="仿宋" w:hAnsi="仿宋" w:eastAsia="仿宋" w:cs="仿宋"/>
          <w:b w:val="0"/>
          <w:bCs w:val="0"/>
          <w:kern w:val="0"/>
          <w:sz w:val="32"/>
          <w:szCs w:val="32"/>
          <w:highlight w:val="none"/>
        </w:rPr>
      </w:pPr>
      <w:r>
        <w:rPr>
          <w:rFonts w:hint="eastAsia" w:ascii="仿宋" w:hAnsi="仿宋" w:eastAsia="仿宋" w:cs="仿宋"/>
          <w:b w:val="0"/>
          <w:bCs w:val="0"/>
          <w:kern w:val="0"/>
          <w:sz w:val="32"/>
          <w:szCs w:val="32"/>
          <w:highlight w:val="none"/>
        </w:rPr>
        <w:t>一、部门职责</w:t>
      </w:r>
    </w:p>
    <w:p>
      <w:pPr>
        <w:spacing w:after="0" w:line="56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一）加强调度部署，保持良好工作局面。我市始终把信访工作当做一场硬仗来打，摆在重要位置来部署推进，积极抓好落实。一是精心组织部署。针对各阶段重点，市委、市政府多次召开全市信访稳定工作大会，市联席会议每月至少召开一次例会，明确目标，周密部署，确保达成实效。二是领导调度推进。市委、市政府主要领导主动参加市联席会议工作例会，调度信访积案，督导工作落实；在全国“两会”等重大敏感时期实行双日调度，召集市级相关包案领导和重点乡镇、责任单位召开案件碰头会，下大力度化解疑难信访问题。三是利用信息平台实现工作快速联动。开通信访工作微信群，由市委、市政府主要领导，市联席会议召集人，各相关部门和乡镇主要负责同志组成，对信访工作情况进行快速沟通、及时调度，确保第一时间发现问题、解决问题。</w:t>
      </w:r>
    </w:p>
    <w:p>
      <w:pPr>
        <w:spacing w:after="0" w:line="56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二）健全制度机制，激发群众工作效能活力。全面建成“以市群众工作中心为核心纽带，以乡级群众工作站为枝干延伸，以村级群众工作室为基层节点”的群众工作网络，并通过探索实践、交流经验等，不断健全工作机制、提升工作质量。当前，运用群众工作思维，深入化解基层矛盾的作用正在显现。一是市群众工作中心高效运转。群工中心新建接待大厅面积达1077平方米，设立13个接访窗口，抽调19个市直部门进驻。制定了《群众工作中心工作流程》、《加强中心管理的各项规定》、《入驻人员考核管理办法》等一系列配套制度，对入驻干部每周开展一次集中学习培训，每月进行一次综合考评和通报，推动中心规范管理、高效运行。经过“统一分流”、“三级调处”，实现了信访由“中转站”向“终点站”的转变。二是乡、村两级群众工作平台开始发挥实效。全市15个乡镇（区、办）群众工作站、373个村街（社区、企业）群众工作室全部建成并投入使用。在村级群众工作室，突出矛盾纠纷的排查、吸附作用，重大问题及时上报，并引导群众逐级、有序上访；在乡级群众工作站，统筹信访、综治、司法等部门力量，适时引入法律援助，通过统一战线、形成合力，推动信访问题依法就地解决。三是转变作风，服务群众。结合作风整顿、政策落实年和素质提升年活动，以争当“优秀接访员、办信能手、办案标兵、优秀督办员” 为活动载体，积极开展岗位大练兵，不断强化信访干部的责任意识、服务意识和群众工作能力。</w:t>
      </w:r>
    </w:p>
    <w:p>
      <w:pPr>
        <w:spacing w:after="0" w:line="56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三）立足事要解决，攻坚化解信访积案。我市把化解信访积案列为全市重点工作之一，制定了《霸州市化解信访积案集中行动实施方案》，在全市范围开展信访积案化解暨非访治理攻坚月行动，将进京非访案件、进京赴省集体上访案件、已结未息诉案件全部列入攻坚范畴，以“真正解决问题”为出发点和落脚点，落实“四个集中一批”措施，强力攻坚。一是集中调度化解一批。实行每周集中调度机制，市联席会议牵头召集市级相关包案领导和责任单位，集中调度疑难信访积案的处置进展情况，研究制定化解措施，推动案件快速、妥善解决。二是集中约访处置一批。实行领导干部重点约访制度，市级包案领导牵头组织各涉案责任部门，并聘请律师提供法律援助，共同约访上访群众，现场拍板解决问题。三是集中治理打击一批。对已经依法按政策办理答复，做到“四个到位、四不欠账”，但上访人仍坚持无理缠访闹访、进京非访的，依法严肃处理。四是集中通报追责一批。严格信访通报追责制度，实行每日通报访情、每周工作倒排；同时，对因工作开展不力、责任落实不到位，造成群众上访问题频发、多发或影响全市稳定工作大局的，追究责任单位相关领导和具体责任人员的责任。</w:t>
      </w:r>
    </w:p>
    <w:p>
      <w:pPr>
        <w:spacing w:after="0" w:line="56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四）强化非访治理，从“依法信访”上造声势。严格执行《关于公安机关处置信访活动中违法犯罪行为适用法律的指导意见》（公通字〔2013〕25号）和《关于依法处理信访活动中有关违法犯罪行为的指导意见》（冀公法〔2015〕100号），对信访活动中的违法行为坚决依法处置，并选择典型案例向社会公开曝光。对违法上访行为形成了有力震慑。同时，大力营造“法治信访”的环境氛围，在全市所有乡镇、村街的重要路段、重要部位悬挂信访宣传标语，向群众发放信访漫画，在“两台一报”滚动播放信访法律法规、宣传视频等，通过多种渠道、多种方式，加强宣传力度，引导群众依法、逐级、理性、有序表达信访诉求，促进社会和谐稳定。</w:t>
      </w:r>
    </w:p>
    <w:p>
      <w:pPr>
        <w:pStyle w:val="2"/>
        <w:spacing w:before="0" w:after="0" w:line="600" w:lineRule="exact"/>
        <w:ind w:firstLine="640" w:firstLineChars="200"/>
        <w:jc w:val="left"/>
        <w:rPr>
          <w:rFonts w:hint="eastAsia" w:ascii="仿宋" w:hAnsi="仿宋" w:eastAsia="仿宋" w:cs="仿宋"/>
          <w:b w:val="0"/>
          <w:bCs w:val="0"/>
          <w:kern w:val="0"/>
          <w:sz w:val="32"/>
          <w:szCs w:val="32"/>
          <w:highlight w:val="none"/>
        </w:rPr>
      </w:pPr>
      <w:r>
        <w:rPr>
          <w:rFonts w:hint="eastAsia" w:ascii="仿宋" w:hAnsi="仿宋" w:eastAsia="仿宋" w:cs="仿宋"/>
          <w:b w:val="0"/>
          <w:bCs w:val="0"/>
          <w:kern w:val="0"/>
          <w:sz w:val="32"/>
          <w:szCs w:val="32"/>
          <w:highlight w:val="none"/>
        </w:rPr>
        <w:t>二、机构设置</w:t>
      </w:r>
    </w:p>
    <w:p>
      <w:pPr>
        <w:spacing w:after="0" w:line="560" w:lineRule="exact"/>
        <w:ind w:firstLine="640" w:firstLineChars="200"/>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从决算编报单位构成看，纳入2019年度本部门决算汇编范围的独立核算单位（以下简称“单位”）共</w:t>
      </w:r>
      <w:r>
        <w:rPr>
          <w:rFonts w:hint="eastAsia" w:ascii="仿宋" w:hAnsi="仿宋" w:eastAsia="仿宋" w:cs="仿宋"/>
          <w:kern w:val="0"/>
          <w:sz w:val="32"/>
          <w:szCs w:val="32"/>
          <w:highlight w:val="none"/>
          <w:lang w:val="en-US" w:eastAsia="zh-CN"/>
        </w:rPr>
        <w:t>1</w:t>
      </w:r>
      <w:r>
        <w:rPr>
          <w:rFonts w:hint="eastAsia" w:ascii="仿宋" w:hAnsi="仿宋" w:eastAsia="仿宋" w:cs="仿宋"/>
          <w:kern w:val="0"/>
          <w:sz w:val="32"/>
          <w:szCs w:val="32"/>
          <w:highlight w:val="none"/>
        </w:rPr>
        <w:t>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序号</w:t>
            </w:r>
          </w:p>
        </w:tc>
        <w:tc>
          <w:tcPr>
            <w:tcW w:w="3485" w:type="dxa"/>
            <w:vAlign w:val="center"/>
          </w:tcPr>
          <w:p>
            <w:pPr>
              <w:spacing w:after="0" w:line="56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单位名称</w:t>
            </w:r>
          </w:p>
        </w:tc>
        <w:tc>
          <w:tcPr>
            <w:tcW w:w="2445" w:type="dxa"/>
            <w:vAlign w:val="center"/>
          </w:tcPr>
          <w:p>
            <w:pPr>
              <w:spacing w:after="0" w:line="56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单位基本性质</w:t>
            </w:r>
          </w:p>
        </w:tc>
        <w:tc>
          <w:tcPr>
            <w:tcW w:w="2665" w:type="dxa"/>
            <w:vAlign w:val="center"/>
          </w:tcPr>
          <w:p>
            <w:pPr>
              <w:spacing w:after="0" w:line="560" w:lineRule="exact"/>
              <w:jc w:val="center"/>
              <w:rPr>
                <w:rFonts w:hint="eastAsia" w:ascii="仿宋" w:hAnsi="仿宋" w:eastAsia="仿宋" w:cs="仿宋"/>
                <w:b/>
                <w:bCs/>
                <w:kern w:val="0"/>
                <w:sz w:val="28"/>
                <w:szCs w:val="28"/>
                <w:highlight w:val="none"/>
              </w:rPr>
            </w:pPr>
            <w:r>
              <w:rPr>
                <w:rFonts w:hint="eastAsia" w:ascii="仿宋" w:hAnsi="仿宋" w:eastAsia="仿宋" w:cs="仿宋"/>
                <w:b/>
                <w:bCs/>
                <w:kern w:val="0"/>
                <w:sz w:val="28"/>
                <w:szCs w:val="28"/>
                <w:highlight w:val="none"/>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ind w:left="0" w:leftChars="0" w:right="0" w:rightChars="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3485" w:type="dxa"/>
          </w:tcPr>
          <w:p>
            <w:pPr>
              <w:spacing w:after="0" w:line="560" w:lineRule="exact"/>
              <w:ind w:left="0" w:leftChars="0" w:right="0" w:rightChars="0" w:firstLine="0" w:firstLineChars="0"/>
              <w:jc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霸州市信访局</w:t>
            </w:r>
          </w:p>
        </w:tc>
        <w:tc>
          <w:tcPr>
            <w:tcW w:w="2445" w:type="dxa"/>
          </w:tcPr>
          <w:p>
            <w:pPr>
              <w:spacing w:after="0" w:line="560" w:lineRule="exact"/>
              <w:ind w:left="0" w:leftChars="0" w:right="0" w:rightChars="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行政单位</w:t>
            </w:r>
          </w:p>
        </w:tc>
        <w:tc>
          <w:tcPr>
            <w:tcW w:w="2665" w:type="dxa"/>
          </w:tcPr>
          <w:p>
            <w:pPr>
              <w:spacing w:after="0" w:line="560" w:lineRule="exact"/>
              <w:ind w:left="0" w:leftChars="0" w:right="0" w:rightChars="0" w:firstLine="0" w:firstLineChars="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hint="eastAsia" w:ascii="仿宋" w:hAnsi="仿宋" w:eastAsia="仿宋" w:cs="仿宋"/>
                <w:kern w:val="0"/>
                <w:sz w:val="28"/>
                <w:szCs w:val="28"/>
                <w:highlight w:val="none"/>
              </w:rPr>
            </w:pPr>
          </w:p>
        </w:tc>
      </w:tr>
    </w:tbl>
    <w:p>
      <w:pPr>
        <w:widowControl/>
        <w:spacing w:line="560" w:lineRule="exact"/>
        <w:rPr>
          <w:rFonts w:hint="eastAsia" w:ascii="仿宋" w:hAnsi="仿宋" w:eastAsia="仿宋" w:cs="仿宋"/>
          <w:bCs/>
          <w:kern w:val="0"/>
          <w:sz w:val="52"/>
          <w:szCs w:val="52"/>
          <w:highlight w:val="none"/>
        </w:rPr>
      </w:pPr>
    </w:p>
    <w:p>
      <w:pPr>
        <w:widowControl/>
        <w:spacing w:line="560" w:lineRule="exact"/>
        <w:jc w:val="center"/>
        <w:rPr>
          <w:rFonts w:hint="eastAsia" w:ascii="仿宋" w:hAnsi="仿宋" w:eastAsia="仿宋" w:cs="仿宋"/>
          <w:bCs/>
          <w:kern w:val="0"/>
          <w:sz w:val="52"/>
          <w:szCs w:val="52"/>
          <w:highlight w:val="none"/>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color w:val="000000" w:themeColor="text1"/>
          <w:sz w:val="96"/>
          <w:szCs w:val="96"/>
          <w:highlight w:val="none"/>
          <w14:textFill>
            <w14:solidFill>
              <w14:schemeClr w14:val="tx1"/>
            </w14:solidFill>
          </w14:textFill>
        </w:rPr>
        <w:t>第二部分</w:t>
      </w: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color w:val="000000" w:themeColor="text1"/>
          <w:sz w:val="96"/>
          <w:szCs w:val="96"/>
          <w:highlight w:val="none"/>
          <w14:textFill>
            <w14:solidFill>
              <w14:schemeClr w14:val="tx1"/>
            </w14:solidFill>
          </w14:textFill>
        </w:rPr>
        <w:t>2019年部门决算</w:t>
      </w: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color w:val="000000" w:themeColor="text1"/>
          <w:sz w:val="96"/>
          <w:szCs w:val="96"/>
          <w:highlight w:val="none"/>
          <w14:textFill>
            <w14:solidFill>
              <w14:schemeClr w14:val="tx1"/>
            </w14:solidFill>
          </w14:textFill>
        </w:rPr>
        <w:t>情况说明</w:t>
      </w:r>
    </w:p>
    <w:p>
      <w:pPr>
        <w:rPr>
          <w:rFonts w:hint="eastAsia" w:ascii="仿宋" w:hAnsi="仿宋" w:eastAsia="仿宋" w:cs="仿宋"/>
          <w:color w:val="000000"/>
          <w:kern w:val="0"/>
          <w:highlight w:val="none"/>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hint="eastAsia" w:ascii="仿宋" w:hAnsi="仿宋" w:eastAsia="仿宋" w:cs="仿宋"/>
          <w:b w:val="0"/>
          <w:bCs w:val="0"/>
          <w:highlight w:val="none"/>
        </w:rPr>
      </w:pPr>
      <w:r>
        <w:rPr>
          <w:rFonts w:hint="eastAsia" w:ascii="仿宋" w:hAnsi="仿宋" w:eastAsia="仿宋" w:cs="仿宋"/>
          <w:b w:val="0"/>
          <w:bCs w:val="0"/>
          <w:highlight w:val="none"/>
        </w:rPr>
        <w:t>一、收入</w:t>
      </w:r>
      <w:r>
        <w:rPr>
          <w:rFonts w:hint="eastAsia" w:ascii="仿宋" w:hAnsi="仿宋" w:eastAsia="仿宋" w:cs="仿宋"/>
          <w:b w:val="0"/>
          <w:bCs w:val="0"/>
          <w:kern w:val="0"/>
          <w:highlight w:val="none"/>
        </w:rPr>
        <w:t>支出</w:t>
      </w:r>
      <w:r>
        <w:rPr>
          <w:rFonts w:hint="eastAsia" w:ascii="仿宋" w:hAnsi="仿宋" w:eastAsia="仿宋" w:cs="仿宋"/>
          <w:b w:val="0"/>
          <w:bCs w:val="0"/>
          <w:highlight w:val="none"/>
        </w:rPr>
        <w:t>决算总体情况说明</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本部门2019年度收支总计（含结转和结余）</w:t>
      </w:r>
      <w:r>
        <w:rPr>
          <w:rFonts w:hint="eastAsia" w:ascii="仿宋" w:hAnsi="仿宋" w:eastAsia="仿宋" w:cs="仿宋"/>
          <w:sz w:val="32"/>
          <w:szCs w:val="32"/>
          <w:highlight w:val="none"/>
          <w:lang w:val="en-US" w:eastAsia="zh-CN"/>
        </w:rPr>
        <w:t>1025.7</w:t>
      </w:r>
      <w:r>
        <w:rPr>
          <w:rFonts w:hint="eastAsia" w:ascii="仿宋" w:hAnsi="仿宋" w:eastAsia="仿宋" w:cs="仿宋"/>
          <w:sz w:val="32"/>
          <w:szCs w:val="32"/>
          <w:highlight w:val="none"/>
        </w:rPr>
        <w:t>万元。与2018年度决算相比，</w:t>
      </w:r>
      <w:r>
        <w:rPr>
          <w:rFonts w:hint="eastAsia" w:ascii="仿宋" w:hAnsi="仿宋" w:eastAsia="仿宋" w:cs="仿宋"/>
          <w:sz w:val="32"/>
          <w:szCs w:val="32"/>
          <w:highlight w:val="none"/>
          <w:lang w:val="en-US" w:eastAsia="zh-CN"/>
        </w:rPr>
        <w:t>收入</w:t>
      </w:r>
      <w:r>
        <w:rPr>
          <w:rFonts w:hint="eastAsia" w:ascii="仿宋" w:hAnsi="仿宋" w:eastAsia="仿宋" w:cs="仿宋"/>
          <w:sz w:val="32"/>
          <w:szCs w:val="32"/>
          <w:highlight w:val="none"/>
        </w:rPr>
        <w:t>增加</w:t>
      </w:r>
      <w:r>
        <w:rPr>
          <w:rFonts w:hint="eastAsia" w:ascii="仿宋" w:hAnsi="仿宋" w:eastAsia="仿宋" w:cs="仿宋"/>
          <w:sz w:val="32"/>
          <w:szCs w:val="32"/>
          <w:highlight w:val="none"/>
          <w:lang w:val="en-US" w:eastAsia="zh-CN"/>
        </w:rPr>
        <w:t>157.31</w:t>
      </w:r>
      <w:r>
        <w:rPr>
          <w:rFonts w:hint="eastAsia"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18.2</w:t>
      </w:r>
      <w:r>
        <w:rPr>
          <w:rFonts w:hint="eastAsia" w:ascii="仿宋" w:hAnsi="仿宋" w:eastAsia="仿宋" w:cs="仿宋"/>
          <w:sz w:val="32"/>
          <w:szCs w:val="32"/>
          <w:highlight w:val="none"/>
        </w:rPr>
        <w:t>%，主要是人员经费和维稳资金的增加。</w:t>
      </w:r>
      <w:r>
        <w:rPr>
          <w:rFonts w:hint="eastAsia" w:ascii="仿宋" w:hAnsi="仿宋" w:eastAsia="仿宋" w:cs="仿宋"/>
          <w:sz w:val="32"/>
          <w:szCs w:val="32"/>
          <w:highlight w:val="none"/>
          <w:lang w:val="en-US" w:eastAsia="zh-CN"/>
        </w:rPr>
        <w:t>支出增加170.14万元，增长19.89%，主要是维稳资金支出，综合收支与上年决算数作对比，我单位信访维稳隐患增多相反维稳资金增加了支出。</w:t>
      </w:r>
    </w:p>
    <w:p>
      <w:pPr>
        <w:pStyle w:val="3"/>
        <w:spacing w:before="0" w:after="0" w:line="580" w:lineRule="exact"/>
        <w:ind w:firstLine="640" w:firstLineChars="200"/>
        <w:rPr>
          <w:rFonts w:hint="eastAsia" w:ascii="仿宋" w:hAnsi="仿宋" w:eastAsia="仿宋" w:cs="仿宋"/>
          <w:b w:val="0"/>
          <w:bCs w:val="0"/>
          <w:highlight w:val="none"/>
        </w:rPr>
      </w:pPr>
      <w:r>
        <w:rPr>
          <w:rFonts w:hint="eastAsia" w:ascii="仿宋" w:hAnsi="仿宋" w:eastAsia="仿宋" w:cs="仿宋"/>
          <w:b w:val="0"/>
          <w:bCs w:val="0"/>
          <w:highlight w:val="none"/>
        </w:rPr>
        <w:t>二、收入决算情况说明</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本部门2019年度本年收入合计1021.47万元，其中：财政拨款收入1021.47万元，占</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%；事业收入</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%；经营收入</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%；其他收入</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%。如表所示：</w:t>
      </w:r>
    </w:p>
    <w:tbl>
      <w:tblPr>
        <w:tblStyle w:val="13"/>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t>表1：收入决算结构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1021.47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highlight w:val="none"/>
              </w:rPr>
              <w:t>0.00</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0.00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eastAsia="zh-CN"/>
              </w:rPr>
            </w:pPr>
            <w:r>
              <w:rPr>
                <w:rFonts w:hint="eastAsia" w:ascii="仿宋" w:hAnsi="仿宋" w:eastAsia="仿宋" w:cs="仿宋"/>
                <w:color w:val="000000"/>
                <w:sz w:val="24"/>
                <w:highlight w:val="none"/>
                <w:lang w:eastAsia="zh-CN"/>
              </w:rPr>
              <w:t>0.00</w:t>
            </w:r>
          </w:p>
        </w:tc>
      </w:tr>
    </w:tbl>
    <w:p>
      <w:pPr>
        <w:pStyle w:val="3"/>
        <w:spacing w:before="0" w:after="0" w:line="580" w:lineRule="exact"/>
        <w:ind w:firstLine="640" w:firstLineChars="200"/>
        <w:rPr>
          <w:rFonts w:hint="eastAsia" w:ascii="仿宋" w:hAnsi="仿宋" w:eastAsia="仿宋" w:cs="仿宋"/>
          <w:b w:val="0"/>
          <w:bCs w:val="0"/>
          <w:highlight w:val="none"/>
        </w:rPr>
      </w:pPr>
      <w:r>
        <w:rPr>
          <w:rFonts w:hint="eastAsia" w:ascii="仿宋" w:hAnsi="仿宋" w:eastAsia="仿宋" w:cs="仿宋"/>
          <w:b w:val="0"/>
          <w:bCs w:val="0"/>
          <w:highlight w:val="none"/>
        </w:rPr>
        <w:t>三、支出决算情况说明</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本部门2019年度本年支出合计1025.7万元，其中：基本支出441.56万元，占</w:t>
      </w:r>
      <w:r>
        <w:rPr>
          <w:rFonts w:hint="eastAsia" w:ascii="仿宋" w:hAnsi="仿宋" w:eastAsia="仿宋" w:cs="仿宋"/>
          <w:sz w:val="32"/>
          <w:szCs w:val="32"/>
          <w:highlight w:val="none"/>
          <w:lang w:val="en-US" w:eastAsia="zh-CN"/>
        </w:rPr>
        <w:t>43.05%</w:t>
      </w:r>
      <w:r>
        <w:rPr>
          <w:rFonts w:hint="eastAsia" w:ascii="仿宋" w:hAnsi="仿宋" w:eastAsia="仿宋" w:cs="仿宋"/>
          <w:sz w:val="32"/>
          <w:szCs w:val="32"/>
          <w:highlight w:val="none"/>
        </w:rPr>
        <w:t>；项目支出584.14万元，占</w:t>
      </w:r>
      <w:r>
        <w:rPr>
          <w:rFonts w:hint="eastAsia" w:ascii="仿宋" w:hAnsi="仿宋" w:eastAsia="仿宋" w:cs="仿宋"/>
          <w:sz w:val="32"/>
          <w:szCs w:val="32"/>
          <w:highlight w:val="none"/>
          <w:lang w:val="en-US" w:eastAsia="zh-CN"/>
        </w:rPr>
        <w:t>56.95</w:t>
      </w:r>
      <w:r>
        <w:rPr>
          <w:rFonts w:hint="eastAsia" w:ascii="仿宋" w:hAnsi="仿宋" w:eastAsia="仿宋" w:cs="仿宋"/>
          <w:sz w:val="32"/>
          <w:szCs w:val="32"/>
          <w:highlight w:val="none"/>
        </w:rPr>
        <w:t>%；经营支出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%。如表所示：</w:t>
      </w:r>
    </w:p>
    <w:tbl>
      <w:tblPr>
        <w:tblStyle w:val="13"/>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441.56</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584.14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43.05%</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56.95%</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bl>
    <w:p>
      <w:pPr>
        <w:pStyle w:val="3"/>
        <w:spacing w:before="0" w:after="0" w:line="580" w:lineRule="exact"/>
        <w:ind w:firstLine="640" w:firstLineChars="200"/>
        <w:rPr>
          <w:rFonts w:hint="eastAsia" w:ascii="仿宋" w:hAnsi="仿宋" w:eastAsia="仿宋" w:cs="仿宋"/>
          <w:b w:val="0"/>
          <w:bCs w:val="0"/>
          <w:highlight w:val="none"/>
        </w:rPr>
      </w:pPr>
      <w:r>
        <w:rPr>
          <w:rFonts w:hint="eastAsia" w:ascii="仿宋" w:hAnsi="仿宋" w:eastAsia="仿宋" w:cs="仿宋"/>
          <w:b w:val="0"/>
          <w:bCs w:val="0"/>
          <w:highlight w:val="none"/>
        </w:rPr>
        <w:t>四、</w:t>
      </w:r>
      <w:r>
        <w:rPr>
          <w:rFonts w:hint="eastAsia" w:ascii="仿宋" w:hAnsi="仿宋" w:eastAsia="仿宋" w:cs="仿宋"/>
          <w:b w:val="0"/>
          <w:bCs w:val="0"/>
          <w:kern w:val="0"/>
          <w:highlight w:val="none"/>
        </w:rPr>
        <w:t>财政</w:t>
      </w:r>
      <w:r>
        <w:rPr>
          <w:rFonts w:hint="eastAsia" w:ascii="仿宋" w:hAnsi="仿宋" w:eastAsia="仿宋" w:cs="仿宋"/>
          <w:b w:val="0"/>
          <w:bCs w:val="0"/>
          <w:highlight w:val="none"/>
        </w:rPr>
        <w:t>拨款收入支出决算总体情况说明</w:t>
      </w:r>
    </w:p>
    <w:p>
      <w:pPr>
        <w:spacing w:after="0" w:line="58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（一）财政拨款收支与2018年度决算对比情况</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本部门2019年度形成的财政拨款收支均为一般公共预算财政拨款，其中本年收入1021.47万元,比2018年度增加</w:t>
      </w:r>
      <w:r>
        <w:rPr>
          <w:rFonts w:hint="eastAsia" w:ascii="仿宋" w:hAnsi="仿宋" w:eastAsia="仿宋" w:cs="仿宋"/>
          <w:sz w:val="32"/>
          <w:szCs w:val="32"/>
          <w:highlight w:val="none"/>
          <w:lang w:val="en-US" w:eastAsia="zh-CN"/>
        </w:rPr>
        <w:t>157.31</w:t>
      </w:r>
      <w:r>
        <w:rPr>
          <w:rFonts w:hint="eastAsia"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18.20</w:t>
      </w:r>
      <w:r>
        <w:rPr>
          <w:rFonts w:hint="eastAsia" w:ascii="仿宋" w:hAnsi="仿宋" w:eastAsia="仿宋" w:cs="仿宋"/>
          <w:sz w:val="32"/>
          <w:szCs w:val="32"/>
          <w:highlight w:val="none"/>
        </w:rPr>
        <w:t>%，主要是维稳资金增加；本年支出1025.7万元，增加</w:t>
      </w:r>
      <w:r>
        <w:rPr>
          <w:rFonts w:hint="eastAsia" w:ascii="仿宋" w:hAnsi="仿宋" w:eastAsia="仿宋" w:cs="仿宋"/>
          <w:sz w:val="32"/>
          <w:szCs w:val="32"/>
          <w:highlight w:val="none"/>
          <w:lang w:val="en-US" w:eastAsia="zh-CN"/>
        </w:rPr>
        <w:t>170.14</w:t>
      </w:r>
      <w:r>
        <w:rPr>
          <w:rFonts w:hint="eastAsia" w:ascii="仿宋" w:hAnsi="仿宋" w:eastAsia="仿宋" w:cs="仿宋"/>
          <w:sz w:val="32"/>
          <w:szCs w:val="32"/>
          <w:highlight w:val="none"/>
        </w:rPr>
        <w:t>万元，增长</w:t>
      </w:r>
      <w:r>
        <w:rPr>
          <w:rFonts w:hint="eastAsia" w:ascii="仿宋" w:hAnsi="仿宋" w:eastAsia="仿宋" w:cs="仿宋"/>
          <w:sz w:val="32"/>
          <w:szCs w:val="32"/>
          <w:highlight w:val="none"/>
          <w:lang w:val="en-US" w:eastAsia="zh-CN"/>
        </w:rPr>
        <w:t>19.89</w:t>
      </w:r>
      <w:r>
        <w:rPr>
          <w:rFonts w:hint="eastAsia" w:ascii="仿宋" w:hAnsi="仿宋" w:eastAsia="仿宋" w:cs="仿宋"/>
          <w:sz w:val="32"/>
          <w:szCs w:val="32"/>
          <w:highlight w:val="none"/>
        </w:rPr>
        <w:t>%，主要是维稳资金增加。</w:t>
      </w:r>
    </w:p>
    <w:tbl>
      <w:tblPr>
        <w:tblStyle w:val="13"/>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shd w:val="clear" w:color="auto" w:fill="auto"/>
            <w:vAlign w:val="center"/>
          </w:tcPr>
          <w:p>
            <w:pPr>
              <w:widowControl/>
              <w:jc w:val="center"/>
              <w:textAlignment w:val="center"/>
              <w:rPr>
                <w:rFonts w:hint="eastAsia" w:ascii="仿宋" w:hAnsi="仿宋" w:eastAsia="仿宋" w:cs="仿宋"/>
                <w:color w:val="000000"/>
                <w:sz w:val="28"/>
                <w:szCs w:val="28"/>
                <w:highlight w:val="none"/>
              </w:rPr>
            </w:pPr>
            <w:r>
              <w:rPr>
                <w:rFonts w:hint="eastAsia" w:ascii="仿宋" w:hAnsi="仿宋" w:eastAsia="仿宋" w:cs="仿宋"/>
                <w:color w:val="000000"/>
                <w:kern w:val="0"/>
                <w:sz w:val="28"/>
                <w:szCs w:val="28"/>
                <w:highlight w:val="none"/>
              </w:rPr>
              <w:t>表3：2018-2019年财政拨款收支情况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0"/>
                <w:szCs w:val="20"/>
                <w:highlight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864.16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864.16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855.56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855.56</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2019年（万元）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1021.47</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1021.47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1025.7</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1025.7</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18.20%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18.20%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19.89%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19.89%</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bl>
    <w:p>
      <w:pPr>
        <w:spacing w:after="0" w:line="580" w:lineRule="exact"/>
        <w:ind w:firstLine="643" w:firstLineChars="200"/>
        <w:rPr>
          <w:rFonts w:hint="eastAsia" w:ascii="仿宋" w:hAnsi="仿宋" w:eastAsia="仿宋" w:cs="仿宋"/>
          <w:b/>
          <w:bCs/>
          <w:sz w:val="32"/>
          <w:szCs w:val="32"/>
          <w:highlight w:val="none"/>
        </w:rPr>
      </w:pPr>
    </w:p>
    <w:p>
      <w:pPr>
        <w:spacing w:after="0" w:line="580" w:lineRule="exact"/>
        <w:ind w:firstLine="643" w:firstLineChars="200"/>
        <w:rPr>
          <w:rFonts w:hint="eastAsia" w:ascii="仿宋" w:hAnsi="仿宋" w:eastAsia="仿宋" w:cs="仿宋"/>
          <w:b/>
          <w:bCs/>
          <w:sz w:val="32"/>
          <w:szCs w:val="32"/>
          <w:highlight w:val="none"/>
        </w:rPr>
      </w:pPr>
    </w:p>
    <w:p>
      <w:pPr>
        <w:spacing w:after="0" w:line="58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（二）财政拨款收支与年初预算数对比情况</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本部门2019年度一般公共预算财政拨款收入1021.47万元，完成年初预算的</w:t>
      </w:r>
      <w:r>
        <w:rPr>
          <w:rFonts w:hint="eastAsia" w:ascii="仿宋" w:hAnsi="仿宋" w:eastAsia="仿宋" w:cs="仿宋"/>
          <w:sz w:val="32"/>
          <w:szCs w:val="32"/>
          <w:highlight w:val="none"/>
          <w:lang w:val="en-US" w:eastAsia="zh-CN"/>
        </w:rPr>
        <w:t>91.21</w:t>
      </w:r>
      <w:r>
        <w:rPr>
          <w:rFonts w:hint="eastAsia" w:ascii="仿宋" w:hAnsi="仿宋" w:eastAsia="仿宋" w:cs="仿宋"/>
          <w:sz w:val="32"/>
          <w:szCs w:val="32"/>
          <w:highlight w:val="none"/>
        </w:rPr>
        <w:t>%,比年初预算增加</w:t>
      </w:r>
      <w:r>
        <w:rPr>
          <w:rFonts w:hint="eastAsia" w:ascii="仿宋" w:hAnsi="仿宋" w:eastAsia="仿宋" w:cs="仿宋"/>
          <w:sz w:val="32"/>
          <w:szCs w:val="32"/>
          <w:highlight w:val="none"/>
          <w:lang w:val="en-US" w:eastAsia="zh-CN"/>
        </w:rPr>
        <w:t>89.82</w:t>
      </w:r>
      <w:r>
        <w:rPr>
          <w:rFonts w:hint="eastAsia" w:ascii="仿宋" w:hAnsi="仿宋" w:eastAsia="仿宋" w:cs="仿宋"/>
          <w:sz w:val="32"/>
          <w:szCs w:val="32"/>
          <w:highlight w:val="none"/>
        </w:rPr>
        <w:t>万元，决算数大于预算数主要原因是维稳资金增加；本年支出1025.7万元，完成年初预算的</w:t>
      </w:r>
      <w:r>
        <w:rPr>
          <w:rFonts w:hint="eastAsia" w:ascii="仿宋" w:hAnsi="仿宋" w:eastAsia="仿宋" w:cs="仿宋"/>
          <w:sz w:val="32"/>
          <w:szCs w:val="32"/>
          <w:highlight w:val="none"/>
          <w:lang w:val="en-US" w:eastAsia="zh-CN"/>
        </w:rPr>
        <w:t>96.91</w:t>
      </w:r>
      <w:r>
        <w:rPr>
          <w:rFonts w:hint="eastAsia" w:ascii="仿宋" w:hAnsi="仿宋" w:eastAsia="仿宋" w:cs="仿宋"/>
          <w:sz w:val="32"/>
          <w:szCs w:val="32"/>
          <w:highlight w:val="none"/>
        </w:rPr>
        <w:t>%,比年初预算增加</w:t>
      </w:r>
      <w:r>
        <w:rPr>
          <w:rFonts w:hint="eastAsia" w:ascii="仿宋" w:hAnsi="仿宋" w:eastAsia="仿宋" w:cs="仿宋"/>
          <w:sz w:val="32"/>
          <w:szCs w:val="32"/>
          <w:highlight w:val="none"/>
          <w:lang w:val="en-US" w:eastAsia="zh-CN"/>
        </w:rPr>
        <w:t>29.21</w:t>
      </w:r>
      <w:r>
        <w:rPr>
          <w:rFonts w:hint="eastAsia" w:ascii="仿宋" w:hAnsi="仿宋" w:eastAsia="仿宋" w:cs="仿宋"/>
          <w:sz w:val="32"/>
          <w:szCs w:val="32"/>
          <w:highlight w:val="none"/>
        </w:rPr>
        <w:t>万元，决算数大于预算数主要原因是维稳资金增加。</w:t>
      </w:r>
    </w:p>
    <w:tbl>
      <w:tblPr>
        <w:tblStyle w:val="13"/>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t>表4：财政拨款收支预决算对比情况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sz w:val="20"/>
                <w:szCs w:val="20"/>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931.65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931.65</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931.65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931.65</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1021.47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1021.47</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1025.7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1025.7</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lang w:val="en-US" w:eastAsia="zh-CN"/>
              </w:rPr>
            </w:pPr>
            <w:r>
              <w:rPr>
                <w:rFonts w:hint="eastAsia" w:ascii="仿宋" w:hAnsi="仿宋" w:eastAsia="仿宋" w:cs="仿宋"/>
                <w:color w:val="000000"/>
                <w:sz w:val="24"/>
                <w:highlight w:val="none"/>
                <w:lang w:val="en-US" w:eastAsia="zh-CN"/>
              </w:rPr>
              <w:t>0.00</w:t>
            </w:r>
          </w:p>
        </w:tc>
      </w:tr>
    </w:tbl>
    <w:p>
      <w:pPr>
        <w:numPr>
          <w:ilvl w:val="0"/>
          <w:numId w:val="1"/>
        </w:numPr>
        <w:adjustRightInd w:val="0"/>
        <w:snapToGrid w:val="0"/>
        <w:spacing w:after="0" w:line="580" w:lineRule="exact"/>
        <w:ind w:left="420" w:left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财政拨款支出决算结构情况。</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2019年度财政拨款支出1025.7万元，主要用于以下方面一般公共服务（类）支出960.86万元，占</w:t>
      </w:r>
      <w:r>
        <w:rPr>
          <w:rFonts w:hint="eastAsia" w:ascii="仿宋" w:hAnsi="仿宋" w:eastAsia="仿宋" w:cs="仿宋"/>
          <w:sz w:val="32"/>
          <w:szCs w:val="32"/>
          <w:highlight w:val="none"/>
          <w:lang w:val="en-US" w:eastAsia="zh-CN"/>
        </w:rPr>
        <w:t>93.68</w:t>
      </w:r>
      <w:r>
        <w:rPr>
          <w:rFonts w:hint="eastAsia" w:ascii="仿宋" w:hAnsi="仿宋" w:eastAsia="仿宋" w:cs="仿宋"/>
          <w:sz w:val="32"/>
          <w:szCs w:val="32"/>
          <w:highlight w:val="none"/>
        </w:rPr>
        <w:t>%；公共安全（类）支出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%；教育（类）支出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%；科学技术（类）支出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%；社会保障和就业（类）支出 30.46万元，占</w:t>
      </w:r>
      <w:r>
        <w:rPr>
          <w:rFonts w:hint="eastAsia" w:ascii="仿宋" w:hAnsi="仿宋" w:eastAsia="仿宋" w:cs="仿宋"/>
          <w:sz w:val="32"/>
          <w:szCs w:val="32"/>
          <w:highlight w:val="none"/>
          <w:lang w:val="en-US" w:eastAsia="zh-CN"/>
        </w:rPr>
        <w:t>2.97</w:t>
      </w:r>
      <w:r>
        <w:rPr>
          <w:rFonts w:hint="eastAsia" w:ascii="仿宋" w:hAnsi="仿宋" w:eastAsia="仿宋" w:cs="仿宋"/>
          <w:sz w:val="32"/>
          <w:szCs w:val="32"/>
          <w:highlight w:val="none"/>
        </w:rPr>
        <w:t>%；住房保障（类）支出21.03万元，占</w:t>
      </w:r>
      <w:r>
        <w:rPr>
          <w:rFonts w:hint="eastAsia" w:ascii="仿宋" w:hAnsi="仿宋" w:eastAsia="仿宋" w:cs="仿宋"/>
          <w:sz w:val="32"/>
          <w:szCs w:val="32"/>
          <w:highlight w:val="none"/>
          <w:lang w:val="en-US" w:eastAsia="zh-CN"/>
        </w:rPr>
        <w:t>2.05</w:t>
      </w:r>
      <w:r>
        <w:rPr>
          <w:rFonts w:hint="eastAsia" w:ascii="仿宋" w:hAnsi="仿宋" w:eastAsia="仿宋" w:cs="仿宋"/>
          <w:sz w:val="32"/>
          <w:szCs w:val="32"/>
          <w:highlight w:val="none"/>
        </w:rPr>
        <w:t>%;卫生健康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类</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支出13.34</w:t>
      </w:r>
      <w:r>
        <w:rPr>
          <w:rFonts w:hint="eastAsia" w:ascii="仿宋" w:hAnsi="仿宋" w:eastAsia="仿宋" w:cs="仿宋"/>
          <w:sz w:val="32"/>
          <w:szCs w:val="32"/>
          <w:highlight w:val="none"/>
          <w:lang w:val="en-US" w:eastAsia="zh-CN"/>
        </w:rPr>
        <w:t>万元，占1.30%</w:t>
      </w:r>
      <w:r>
        <w:rPr>
          <w:rFonts w:hint="eastAsia" w:ascii="仿宋" w:hAnsi="仿宋" w:eastAsia="仿宋" w:cs="仿宋"/>
          <w:sz w:val="32"/>
          <w:szCs w:val="32"/>
          <w:highlight w:val="none"/>
        </w:rPr>
        <w:t>。</w:t>
      </w:r>
    </w:p>
    <w:tbl>
      <w:tblPr>
        <w:tblStyle w:val="13"/>
        <w:tblW w:w="8874" w:type="dxa"/>
        <w:tblInd w:w="0" w:type="dxa"/>
        <w:tblLayout w:type="fixed"/>
        <w:tblCellMar>
          <w:top w:w="15" w:type="dxa"/>
          <w:left w:w="15" w:type="dxa"/>
          <w:bottom w:w="15" w:type="dxa"/>
          <w:right w:w="15" w:type="dxa"/>
        </w:tblCellMar>
      </w:tblPr>
      <w:tblGrid>
        <w:gridCol w:w="2021"/>
        <w:gridCol w:w="1615"/>
        <w:gridCol w:w="1615"/>
        <w:gridCol w:w="1615"/>
        <w:gridCol w:w="2008"/>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hint="eastAsia" w:ascii="仿宋" w:hAnsi="仿宋" w:eastAsia="仿宋" w:cs="仿宋"/>
                <w:color w:val="000000"/>
                <w:sz w:val="24"/>
                <w:highlight w:val="none"/>
              </w:rPr>
            </w:pPr>
            <w:r>
              <w:rPr>
                <w:rFonts w:hint="eastAsia" w:ascii="仿宋" w:hAnsi="仿宋" w:eastAsia="仿宋" w:cs="仿宋"/>
                <w:color w:val="000000"/>
                <w:kern w:val="0"/>
                <w:sz w:val="24"/>
                <w:highlight w:val="none"/>
              </w:rPr>
              <w:t>表5：财政拨款支出决算结构（按功能分类）</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一般公共服务（类）支出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社会保障和就业</w:t>
            </w:r>
            <w:r>
              <w:rPr>
                <w:rFonts w:hint="eastAsia" w:ascii="仿宋" w:hAnsi="仿宋" w:eastAsia="仿宋" w:cs="仿宋"/>
                <w:color w:val="000000"/>
                <w:kern w:val="0"/>
                <w:sz w:val="20"/>
                <w:szCs w:val="20"/>
                <w:highlight w:val="none"/>
                <w:lang w:eastAsia="zh-CN"/>
              </w:rPr>
              <w:t>（</w:t>
            </w:r>
            <w:r>
              <w:rPr>
                <w:rFonts w:hint="eastAsia" w:ascii="仿宋" w:hAnsi="仿宋" w:eastAsia="仿宋" w:cs="仿宋"/>
                <w:color w:val="000000"/>
                <w:kern w:val="0"/>
                <w:sz w:val="20"/>
                <w:szCs w:val="20"/>
                <w:highlight w:val="none"/>
                <w:lang w:val="en-US" w:eastAsia="zh-CN"/>
              </w:rPr>
              <w:t>类</w:t>
            </w:r>
            <w:r>
              <w:rPr>
                <w:rFonts w:hint="eastAsia" w:ascii="仿宋" w:hAnsi="仿宋" w:eastAsia="仿宋" w:cs="仿宋"/>
                <w:color w:val="000000"/>
                <w:kern w:val="0"/>
                <w:sz w:val="20"/>
                <w:szCs w:val="20"/>
                <w:highlight w:val="none"/>
                <w:lang w:eastAsia="zh-CN"/>
              </w:rPr>
              <w:t>）</w:t>
            </w:r>
            <w:r>
              <w:rPr>
                <w:rFonts w:hint="eastAsia" w:ascii="仿宋" w:hAnsi="仿宋" w:eastAsia="仿宋" w:cs="仿宋"/>
                <w:color w:val="000000"/>
                <w:kern w:val="0"/>
                <w:sz w:val="20"/>
                <w:szCs w:val="20"/>
                <w:highlight w:val="none"/>
              </w:rPr>
              <w:t>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住房保障（类）支出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卫生健康（类）支出</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960.86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30.46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21.03</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1</w:t>
            </w:r>
            <w:r>
              <w:rPr>
                <w:rFonts w:hint="eastAsia" w:ascii="仿宋" w:hAnsi="仿宋" w:eastAsia="仿宋" w:cs="仿宋"/>
                <w:color w:val="000000"/>
                <w:sz w:val="24"/>
                <w:highlight w:val="none"/>
              </w:rPr>
              <w:t>3.34</w:t>
            </w:r>
          </w:p>
        </w:tc>
      </w:tr>
      <w:tr>
        <w:tblPrEx>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0"/>
                <w:szCs w:val="20"/>
                <w:highlight w:val="none"/>
              </w:rPr>
            </w:pPr>
            <w:r>
              <w:rPr>
                <w:rFonts w:hint="eastAsia" w:ascii="仿宋" w:hAnsi="仿宋" w:eastAsia="仿宋" w:cs="仿宋"/>
                <w:color w:val="000000"/>
                <w:kern w:val="0"/>
                <w:sz w:val="20"/>
                <w:szCs w:val="20"/>
                <w:highlight w:val="none"/>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93.68%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2.97%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2.05%</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0" w:leftChars="0" w:right="0" w:rightChars="0" w:firstLine="0" w:firstLine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rPr>
              <w:t>1.30%</w:t>
            </w:r>
          </w:p>
        </w:tc>
      </w:tr>
    </w:tbl>
    <w:p>
      <w:pPr>
        <w:adjustRightInd w:val="0"/>
        <w:snapToGrid w:val="0"/>
        <w:spacing w:after="0" w:line="580" w:lineRule="exact"/>
        <w:ind w:left="420" w:left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（四）一般公共预算基本支出决算情况说明</w:t>
      </w:r>
    </w:p>
    <w:p>
      <w:pPr>
        <w:adjustRightInd w:val="0"/>
        <w:snapToGrid w:val="0"/>
        <w:spacing w:after="0"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2019年度财政拨款基本支出441.56万元，其中：人员经费 393.01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48.55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hint="eastAsia" w:ascii="仿宋" w:hAnsi="仿宋" w:eastAsia="仿宋" w:cs="仿宋"/>
          <w:b w:val="0"/>
          <w:bCs w:val="0"/>
          <w:color w:val="FF0000"/>
          <w:highlight w:val="none"/>
        </w:rPr>
      </w:pPr>
      <w:r>
        <w:rPr>
          <w:rFonts w:hint="eastAsia" w:ascii="仿宋" w:hAnsi="仿宋" w:eastAsia="仿宋" w:cs="仿宋"/>
          <w:b w:val="0"/>
          <w:bCs w:val="0"/>
          <w:highlight w:val="none"/>
        </w:rPr>
        <w:t>五、一般公共预算 “三公” 经费支出决算情况说明</w:t>
      </w:r>
    </w:p>
    <w:p>
      <w:pPr>
        <w:adjustRightInd w:val="0"/>
        <w:snapToGrid w:val="0"/>
        <w:spacing w:line="584"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本部门2019年度 “三公”经费支出共计2.5万元，完成预算的</w:t>
      </w:r>
      <w:r>
        <w:rPr>
          <w:rFonts w:hint="eastAsia" w:ascii="仿宋" w:hAnsi="仿宋" w:eastAsia="仿宋" w:cs="仿宋"/>
          <w:sz w:val="32"/>
          <w:szCs w:val="32"/>
          <w:highlight w:val="none"/>
          <w:lang w:val="en-US" w:eastAsia="zh-CN"/>
        </w:rPr>
        <w:t>86.81</w:t>
      </w:r>
      <w:r>
        <w:rPr>
          <w:rFonts w:hint="eastAsia" w:ascii="仿宋" w:hAnsi="仿宋" w:eastAsia="仿宋" w:cs="仿宋"/>
          <w:sz w:val="32"/>
          <w:szCs w:val="32"/>
          <w:highlight w:val="none"/>
        </w:rPr>
        <w:t>%，较预算减少</w:t>
      </w:r>
      <w:r>
        <w:rPr>
          <w:rFonts w:hint="eastAsia" w:ascii="仿宋" w:hAnsi="仿宋" w:eastAsia="仿宋" w:cs="仿宋"/>
          <w:sz w:val="32"/>
          <w:szCs w:val="32"/>
          <w:highlight w:val="none"/>
          <w:lang w:val="en-US" w:eastAsia="zh-CN"/>
        </w:rPr>
        <w:t>0.38</w:t>
      </w:r>
      <w:r>
        <w:rPr>
          <w:rFonts w:hint="eastAsia" w:ascii="仿宋" w:hAnsi="仿宋" w:eastAsia="仿宋" w:cs="仿宋"/>
          <w:sz w:val="32"/>
          <w:szCs w:val="32"/>
          <w:highlight w:val="none"/>
        </w:rPr>
        <w:t>万元，降低</w:t>
      </w:r>
      <w:r>
        <w:rPr>
          <w:rFonts w:hint="eastAsia" w:ascii="仿宋" w:hAnsi="仿宋" w:eastAsia="仿宋" w:cs="仿宋"/>
          <w:sz w:val="32"/>
          <w:szCs w:val="32"/>
          <w:highlight w:val="none"/>
          <w:lang w:val="en-US" w:eastAsia="zh-CN"/>
        </w:rPr>
        <w:t>13.19</w:t>
      </w:r>
      <w:r>
        <w:rPr>
          <w:rFonts w:hint="eastAsia" w:ascii="仿宋" w:hAnsi="仿宋" w:eastAsia="仿宋" w:cs="仿宋"/>
          <w:sz w:val="32"/>
          <w:szCs w:val="32"/>
          <w:highlight w:val="none"/>
        </w:rPr>
        <w:t>%，主要是严格落实中央“八项规定，厉行节约”；较2018年度减少</w:t>
      </w:r>
      <w:r>
        <w:rPr>
          <w:rFonts w:hint="eastAsia" w:ascii="仿宋" w:hAnsi="仿宋" w:eastAsia="仿宋" w:cs="仿宋"/>
          <w:sz w:val="32"/>
          <w:szCs w:val="32"/>
          <w:highlight w:val="none"/>
          <w:lang w:val="en-US" w:eastAsia="zh-CN"/>
        </w:rPr>
        <w:t>0.51</w:t>
      </w:r>
      <w:r>
        <w:rPr>
          <w:rFonts w:hint="eastAsia" w:ascii="仿宋" w:hAnsi="仿宋" w:eastAsia="仿宋" w:cs="仿宋"/>
          <w:sz w:val="32"/>
          <w:szCs w:val="32"/>
          <w:highlight w:val="none"/>
        </w:rPr>
        <w:t>万元，降低</w:t>
      </w:r>
      <w:r>
        <w:rPr>
          <w:rFonts w:hint="eastAsia" w:ascii="仿宋" w:hAnsi="仿宋" w:eastAsia="仿宋" w:cs="仿宋"/>
          <w:sz w:val="32"/>
          <w:szCs w:val="32"/>
          <w:highlight w:val="none"/>
          <w:lang w:val="en-US" w:eastAsia="zh-CN"/>
        </w:rPr>
        <w:t>16.94</w:t>
      </w:r>
      <w:r>
        <w:rPr>
          <w:rFonts w:hint="eastAsia" w:ascii="仿宋" w:hAnsi="仿宋" w:eastAsia="仿宋" w:cs="仿宋"/>
          <w:sz w:val="32"/>
          <w:szCs w:val="32"/>
          <w:highlight w:val="none"/>
        </w:rPr>
        <w:t>%，主要是严格落实中央“八项规定，厉行节约”。具体情况如下：</w:t>
      </w:r>
    </w:p>
    <w:p>
      <w:pPr>
        <w:adjustRightInd w:val="0"/>
        <w:snapToGrid w:val="0"/>
        <w:spacing w:line="584"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bCs/>
          <w:sz w:val="32"/>
          <w:szCs w:val="32"/>
          <w:highlight w:val="none"/>
        </w:rPr>
        <w:t>（一）因公出国（境）费支出</w:t>
      </w:r>
      <w:r>
        <w:rPr>
          <w:rFonts w:hint="eastAsia" w:ascii="仿宋" w:hAnsi="仿宋" w:eastAsia="仿宋" w:cs="仿宋"/>
          <w:b/>
          <w:bCs/>
          <w:sz w:val="32"/>
          <w:szCs w:val="32"/>
          <w:highlight w:val="none"/>
          <w:lang w:val="en-US" w:eastAsia="zh-CN"/>
        </w:rPr>
        <w:t>0</w:t>
      </w:r>
      <w:r>
        <w:rPr>
          <w:rFonts w:hint="eastAsia" w:ascii="仿宋" w:hAnsi="仿宋" w:eastAsia="仿宋" w:cs="仿宋"/>
          <w:b/>
          <w:bCs/>
          <w:sz w:val="32"/>
          <w:szCs w:val="32"/>
          <w:highlight w:val="none"/>
        </w:rPr>
        <w:t>万元。</w:t>
      </w:r>
      <w:r>
        <w:rPr>
          <w:rFonts w:hint="eastAsia" w:ascii="仿宋" w:hAnsi="仿宋" w:eastAsia="仿宋" w:cs="仿宋"/>
          <w:sz w:val="32"/>
          <w:szCs w:val="32"/>
          <w:highlight w:val="none"/>
        </w:rPr>
        <w:t>本部门2019年度因公出国（境）团组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个、共</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人/参加其他单位组织的因公出国（境）团组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个、共</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人/无本单位组织的出国（境）团组。因公出国（境）费支出</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预算</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上年</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主要是</w:t>
      </w:r>
      <w:r>
        <w:rPr>
          <w:rFonts w:hint="eastAsia" w:ascii="仿宋" w:hAnsi="仿宋" w:eastAsia="仿宋" w:cs="仿宋"/>
          <w:sz w:val="32"/>
          <w:szCs w:val="32"/>
          <w:highlight w:val="none"/>
        </w:rPr>
        <w:t>未发生“因公出国（境）费”经费支出</w:t>
      </w:r>
      <w:r>
        <w:rPr>
          <w:rFonts w:hint="eastAsia" w:ascii="仿宋" w:hAnsi="仿宋" w:eastAsia="仿宋" w:cs="仿宋"/>
          <w:sz w:val="32"/>
          <w:szCs w:val="32"/>
          <w:highlight w:val="none"/>
          <w:lang w:eastAsia="zh-CN"/>
        </w:rPr>
        <w:t>。</w:t>
      </w:r>
    </w:p>
    <w:p>
      <w:pPr>
        <w:adjustRightInd w:val="0"/>
        <w:snapToGrid w:val="0"/>
        <w:spacing w:line="584" w:lineRule="exact"/>
        <w:ind w:firstLine="643" w:firstLineChars="200"/>
        <w:rPr>
          <w:rFonts w:hint="eastAsia" w:ascii="仿宋" w:hAnsi="仿宋" w:eastAsia="仿宋" w:cs="仿宋"/>
          <w:sz w:val="32"/>
          <w:szCs w:val="32"/>
          <w:highlight w:val="none"/>
        </w:rPr>
      </w:pPr>
      <w:r>
        <w:rPr>
          <w:rFonts w:hint="eastAsia" w:ascii="仿宋" w:hAnsi="仿宋" w:eastAsia="仿宋" w:cs="仿宋"/>
          <w:b/>
          <w:sz w:val="32"/>
          <w:szCs w:val="32"/>
          <w:highlight w:val="none"/>
        </w:rPr>
        <w:t>（二）公务用车购置及运行维护费支出</w:t>
      </w:r>
      <w:r>
        <w:rPr>
          <w:rFonts w:hint="eastAsia" w:ascii="仿宋" w:hAnsi="仿宋" w:eastAsia="仿宋" w:cs="仿宋"/>
          <w:b/>
          <w:sz w:val="32"/>
          <w:szCs w:val="32"/>
          <w:highlight w:val="none"/>
          <w:lang w:val="en-US" w:eastAsia="zh-CN"/>
        </w:rPr>
        <w:t>2.5</w:t>
      </w:r>
      <w:r>
        <w:rPr>
          <w:rFonts w:hint="eastAsia" w:ascii="仿宋" w:hAnsi="仿宋" w:eastAsia="仿宋" w:cs="仿宋"/>
          <w:b/>
          <w:sz w:val="32"/>
          <w:szCs w:val="32"/>
          <w:highlight w:val="none"/>
        </w:rPr>
        <w:t>万元。</w:t>
      </w:r>
      <w:r>
        <w:rPr>
          <w:rFonts w:hint="eastAsia" w:ascii="仿宋" w:hAnsi="仿宋" w:eastAsia="仿宋" w:cs="仿宋"/>
          <w:sz w:val="32"/>
          <w:szCs w:val="32"/>
          <w:highlight w:val="none"/>
        </w:rPr>
        <w:t>本部门2019年度公务用车购置及运行维护费较预算减少</w:t>
      </w:r>
      <w:r>
        <w:rPr>
          <w:rFonts w:hint="eastAsia" w:ascii="仿宋" w:hAnsi="仿宋" w:eastAsia="仿宋" w:cs="仿宋"/>
          <w:sz w:val="32"/>
          <w:szCs w:val="32"/>
          <w:highlight w:val="none"/>
          <w:lang w:val="en-US" w:eastAsia="zh-CN"/>
        </w:rPr>
        <w:t>0.38</w:t>
      </w:r>
      <w:r>
        <w:rPr>
          <w:rFonts w:hint="eastAsia" w:ascii="仿宋" w:hAnsi="仿宋" w:eastAsia="仿宋" w:cs="仿宋"/>
          <w:sz w:val="32"/>
          <w:szCs w:val="32"/>
          <w:highlight w:val="none"/>
        </w:rPr>
        <w:t>万元，降低13.19%,主要是严格落实中央“八项规定，厉行节约”较上年减少</w:t>
      </w:r>
      <w:r>
        <w:rPr>
          <w:rFonts w:hint="eastAsia" w:ascii="仿宋" w:hAnsi="仿宋" w:eastAsia="仿宋" w:cs="仿宋"/>
          <w:sz w:val="32"/>
          <w:szCs w:val="32"/>
          <w:highlight w:val="none"/>
          <w:lang w:val="en-US" w:eastAsia="zh-CN"/>
        </w:rPr>
        <w:t>0.51</w:t>
      </w:r>
      <w:r>
        <w:rPr>
          <w:rFonts w:hint="eastAsia" w:ascii="仿宋" w:hAnsi="仿宋" w:eastAsia="仿宋" w:cs="仿宋"/>
          <w:sz w:val="32"/>
          <w:szCs w:val="32"/>
          <w:highlight w:val="none"/>
        </w:rPr>
        <w:t>万元，降低16.94%，主要是严格落实中央“八项规定，厉行节约”。其中：</w:t>
      </w:r>
    </w:p>
    <w:p>
      <w:pPr>
        <w:adjustRightInd w:val="0"/>
        <w:snapToGrid w:val="0"/>
        <w:spacing w:line="580" w:lineRule="exact"/>
        <w:ind w:firstLine="643" w:firstLineChars="200"/>
        <w:rPr>
          <w:rFonts w:hint="eastAsia" w:ascii="仿宋" w:hAnsi="仿宋" w:eastAsia="仿宋" w:cs="仿宋"/>
          <w:sz w:val="32"/>
          <w:szCs w:val="32"/>
          <w:highlight w:val="none"/>
          <w:lang w:eastAsia="zh-CN"/>
        </w:rPr>
      </w:pPr>
      <w:r>
        <w:rPr>
          <w:rFonts w:hint="eastAsia" w:ascii="仿宋" w:hAnsi="仿宋" w:eastAsia="仿宋" w:cs="仿宋"/>
          <w:b/>
          <w:sz w:val="32"/>
          <w:szCs w:val="32"/>
          <w:highlight w:val="none"/>
        </w:rPr>
        <w:t>公务用车购置费：</w:t>
      </w:r>
      <w:r>
        <w:rPr>
          <w:rFonts w:hint="eastAsia" w:ascii="仿宋" w:hAnsi="仿宋" w:eastAsia="仿宋" w:cs="仿宋"/>
          <w:sz w:val="32"/>
          <w:szCs w:val="32"/>
          <w:highlight w:val="none"/>
        </w:rPr>
        <w:t>本部门2019年度公务用车购置量</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辆，发生“公务用车购置”经费支出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万元。公务用车购置费支出</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预算</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上年</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rPr>
        <w:t>。</w:t>
      </w:r>
      <w:r>
        <w:rPr>
          <w:rFonts w:hint="eastAsia" w:ascii="仿宋_GB2312" w:eastAsia="仿宋_GB2312" w:cs="DengXian-Regular"/>
          <w:sz w:val="32"/>
          <w:szCs w:val="32"/>
        </w:rPr>
        <w:t>主要是</w:t>
      </w:r>
      <w:r>
        <w:rPr>
          <w:rFonts w:hint="eastAsia" w:ascii="仿宋" w:hAnsi="仿宋" w:eastAsia="仿宋" w:cs="仿宋"/>
          <w:sz w:val="32"/>
          <w:szCs w:val="32"/>
          <w:highlight w:val="none"/>
        </w:rPr>
        <w:t>未发生“公务用车购置”经费支出</w:t>
      </w:r>
      <w:r>
        <w:rPr>
          <w:rFonts w:hint="eastAsia" w:ascii="仿宋" w:hAnsi="仿宋" w:eastAsia="仿宋" w:cs="仿宋"/>
          <w:sz w:val="32"/>
          <w:szCs w:val="32"/>
          <w:highlight w:val="none"/>
          <w:lang w:eastAsia="zh-CN"/>
        </w:rPr>
        <w:t>。</w:t>
      </w:r>
    </w:p>
    <w:p>
      <w:pPr>
        <w:adjustRightInd w:val="0"/>
        <w:snapToGrid w:val="0"/>
        <w:spacing w:line="580" w:lineRule="exact"/>
        <w:ind w:firstLine="643" w:firstLineChars="200"/>
        <w:rPr>
          <w:rFonts w:hint="eastAsia" w:ascii="仿宋" w:hAnsi="仿宋" w:eastAsia="仿宋" w:cs="仿宋"/>
          <w:sz w:val="32"/>
          <w:szCs w:val="32"/>
          <w:highlight w:val="yellow"/>
          <w:lang w:eastAsia="zh-CN"/>
        </w:rPr>
      </w:pPr>
      <w:r>
        <w:rPr>
          <w:rFonts w:hint="eastAsia" w:ascii="仿宋" w:hAnsi="仿宋" w:eastAsia="仿宋" w:cs="仿宋"/>
          <w:b/>
          <w:sz w:val="32"/>
          <w:szCs w:val="32"/>
          <w:highlight w:val="none"/>
        </w:rPr>
        <w:t>公务用车运行维护费：</w:t>
      </w:r>
      <w:r>
        <w:rPr>
          <w:rFonts w:hint="eastAsia" w:ascii="仿宋" w:hAnsi="仿宋" w:eastAsia="仿宋" w:cs="仿宋"/>
          <w:sz w:val="32"/>
          <w:szCs w:val="32"/>
          <w:highlight w:val="none"/>
        </w:rPr>
        <w:t>本部门2019年度单位公务用车保有量</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辆。公车运行维护费支出</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预算</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rPr>
        <w:t>,主要是严格落实中央“八项规定，厉行节约”</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比201</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年度决算减少</w:t>
      </w:r>
      <w:r>
        <w:rPr>
          <w:rFonts w:hint="eastAsia" w:ascii="仿宋" w:hAnsi="仿宋" w:eastAsia="仿宋" w:cs="仿宋"/>
          <w:sz w:val="32"/>
          <w:szCs w:val="32"/>
          <w:highlight w:val="none"/>
          <w:lang w:val="en-US" w:eastAsia="zh-CN"/>
        </w:rPr>
        <w:t>0.51</w:t>
      </w:r>
      <w:r>
        <w:rPr>
          <w:rFonts w:hint="eastAsia" w:ascii="仿宋" w:hAnsi="仿宋" w:eastAsia="仿宋" w:cs="仿宋"/>
          <w:sz w:val="32"/>
          <w:szCs w:val="32"/>
          <w:highlight w:val="none"/>
        </w:rPr>
        <w:t>万元，降低</w:t>
      </w:r>
      <w:r>
        <w:rPr>
          <w:rFonts w:hint="eastAsia" w:ascii="仿宋" w:hAnsi="仿宋" w:eastAsia="仿宋" w:cs="仿宋"/>
          <w:sz w:val="32"/>
          <w:szCs w:val="32"/>
          <w:highlight w:val="none"/>
          <w:lang w:val="en-US" w:eastAsia="zh-CN"/>
        </w:rPr>
        <w:t>16.94</w:t>
      </w:r>
      <w:r>
        <w:rPr>
          <w:rFonts w:hint="eastAsia" w:ascii="仿宋" w:hAnsi="仿宋" w:eastAsia="仿宋" w:cs="仿宋"/>
          <w:sz w:val="32"/>
          <w:szCs w:val="32"/>
          <w:highlight w:val="none"/>
        </w:rPr>
        <w:t>%，主要严格落实中央“八项规定，厉行节约”</w:t>
      </w:r>
      <w:r>
        <w:rPr>
          <w:rFonts w:hint="eastAsia" w:ascii="仿宋" w:hAnsi="仿宋" w:eastAsia="仿宋" w:cs="仿宋"/>
          <w:sz w:val="32"/>
          <w:szCs w:val="32"/>
          <w:highlight w:val="none"/>
          <w:lang w:eastAsia="zh-CN"/>
        </w:rPr>
        <w:t>。</w:t>
      </w:r>
    </w:p>
    <w:p>
      <w:pPr>
        <w:adjustRightInd w:val="0"/>
        <w:snapToGrid w:val="0"/>
        <w:spacing w:line="580" w:lineRule="exact"/>
        <w:ind w:firstLine="643" w:firstLineChars="200"/>
        <w:rPr>
          <w:rFonts w:hint="eastAsia" w:ascii="仿宋" w:hAnsi="仿宋" w:eastAsia="仿宋" w:cs="仿宋"/>
          <w:sz w:val="32"/>
          <w:szCs w:val="32"/>
          <w:highlight w:val="yellow"/>
        </w:rPr>
      </w:pPr>
      <w:r>
        <w:rPr>
          <w:rFonts w:hint="eastAsia" w:ascii="仿宋" w:hAnsi="仿宋" w:eastAsia="仿宋" w:cs="仿宋"/>
          <w:b/>
          <w:bCs/>
          <w:sz w:val="32"/>
          <w:szCs w:val="32"/>
          <w:highlight w:val="none"/>
        </w:rPr>
        <w:t>（三）公务接待费支出</w:t>
      </w:r>
      <w:r>
        <w:rPr>
          <w:rFonts w:hint="eastAsia" w:ascii="仿宋" w:hAnsi="仿宋" w:eastAsia="仿宋" w:cs="仿宋"/>
          <w:b/>
          <w:bCs/>
          <w:sz w:val="32"/>
          <w:szCs w:val="32"/>
          <w:highlight w:val="none"/>
          <w:lang w:val="en-US" w:eastAsia="zh-CN"/>
        </w:rPr>
        <w:t>0</w:t>
      </w:r>
      <w:r>
        <w:rPr>
          <w:rFonts w:hint="eastAsia" w:ascii="仿宋" w:hAnsi="仿宋" w:eastAsia="仿宋" w:cs="仿宋"/>
          <w:b/>
          <w:bCs/>
          <w:sz w:val="32"/>
          <w:szCs w:val="32"/>
          <w:highlight w:val="none"/>
        </w:rPr>
        <w:t>万元。</w:t>
      </w:r>
      <w:r>
        <w:rPr>
          <w:rFonts w:hint="eastAsia" w:ascii="仿宋" w:hAnsi="仿宋" w:eastAsia="仿宋" w:cs="仿宋"/>
          <w:sz w:val="32"/>
          <w:szCs w:val="32"/>
          <w:highlight w:val="none"/>
        </w:rPr>
        <w:t>本部门2019年度公务接待共</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批次、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人次。公务接待费支出</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预算</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rPr>
        <w:t>,</w:t>
      </w:r>
      <w:r>
        <w:rPr>
          <w:rFonts w:hint="eastAsia" w:ascii="仿宋_GB2312" w:eastAsia="仿宋_GB2312" w:cs="DengXian-Regular"/>
          <w:sz w:val="32"/>
          <w:szCs w:val="32"/>
        </w:rPr>
        <w:t>主要是</w:t>
      </w:r>
      <w:r>
        <w:rPr>
          <w:rFonts w:hint="eastAsia" w:ascii="仿宋" w:hAnsi="仿宋" w:eastAsia="仿宋" w:cs="仿宋"/>
          <w:sz w:val="32"/>
          <w:szCs w:val="32"/>
          <w:highlight w:val="none"/>
        </w:rPr>
        <w:t>未发生“公务接待费”经费支出。</w:t>
      </w:r>
      <w:r>
        <w:rPr>
          <w:rFonts w:hint="eastAsia" w:ascii="仿宋_GB2312" w:eastAsia="仿宋_GB2312" w:cs="DengXian-Regular"/>
          <w:sz w:val="32"/>
          <w:szCs w:val="32"/>
        </w:rPr>
        <w:t>较上年度</w:t>
      </w:r>
      <w:r>
        <w:rPr>
          <w:rFonts w:hint="eastAsia" w:ascii="仿宋" w:hAnsi="仿宋" w:eastAsia="仿宋" w:cs="仿宋"/>
          <w:sz w:val="32"/>
          <w:szCs w:val="32"/>
          <w:highlight w:val="none"/>
        </w:rPr>
        <w:t>无增减变化</w:t>
      </w:r>
      <w:r>
        <w:rPr>
          <w:rFonts w:hint="eastAsia" w:ascii="仿宋" w:hAnsi="仿宋" w:eastAsia="仿宋" w:cs="仿宋"/>
          <w:sz w:val="32"/>
          <w:szCs w:val="32"/>
          <w:highlight w:val="none"/>
          <w:lang w:val="en-US" w:eastAsia="zh-CN"/>
        </w:rPr>
        <w:t>。</w:t>
      </w:r>
    </w:p>
    <w:p>
      <w:pPr>
        <w:adjustRightInd w:val="0"/>
        <w:snapToGrid w:val="0"/>
        <w:spacing w:line="580" w:lineRule="exact"/>
        <w:ind w:firstLine="640" w:firstLineChars="200"/>
        <w:rPr>
          <w:rFonts w:hint="eastAsia" w:ascii="仿宋" w:hAnsi="仿宋" w:eastAsia="仿宋" w:cs="仿宋"/>
          <w:sz w:val="32"/>
          <w:szCs w:val="40"/>
          <w:highlight w:val="none"/>
        </w:rPr>
      </w:pPr>
      <w:bookmarkStart w:id="0" w:name="_Hlk51834005"/>
      <w:r>
        <w:rPr>
          <w:rFonts w:hint="eastAsia" w:ascii="仿宋" w:hAnsi="仿宋" w:eastAsia="仿宋" w:cs="仿宋"/>
          <w:sz w:val="32"/>
          <w:szCs w:val="40"/>
          <w:highlight w:val="none"/>
        </w:rPr>
        <w:t>六、预算绩效情况说明</w:t>
      </w:r>
    </w:p>
    <w:p>
      <w:pPr>
        <w:adjustRightInd w:val="0"/>
        <w:snapToGrid w:val="0"/>
        <w:spacing w:line="58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1. 预算绩效管理工作开展情况。</w:t>
      </w:r>
    </w:p>
    <w:p>
      <w:pPr>
        <w:adjustRightInd w:val="0"/>
        <w:snapToGrid w:val="0"/>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根据预算绩效管理要求，本部门组织对2019年度一般公共预算项目支出全面开展绩效自评，其中，项目</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个共涉及资金474.72万元，占一般公共预算项目支出总额的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p>
    <w:p>
      <w:pPr>
        <w:pBdr>
          <w:top w:val="none" w:color="auto" w:sz="0" w:space="0"/>
          <w:left w:val="none" w:color="auto" w:sz="0" w:space="0"/>
          <w:bottom w:val="none" w:color="auto" w:sz="0" w:space="0"/>
          <w:right w:val="none" w:color="auto" w:sz="0" w:space="0"/>
        </w:pBdr>
        <w:autoSpaceDN w:val="0"/>
        <w:spacing w:line="576" w:lineRule="atLeast"/>
        <w:ind w:firstLine="640" w:firstLineChars="200"/>
        <w:jc w:val="left"/>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信访业务经费项目的开展，2019年通过下乡督导，解决涉军群体、民办教师、征地拆迁、劳资纠纷、土地流转、环境整治、暑期安保、扫黑除恶等社会矛盾造成不稳定的信访问题的维稳工作，坚决杜绝有影响的信访事件发生。通过信访的办公场所的修缮和业务的宣传，妥善解决群众信访问题，切实维护群众合法权益。通过开展维稳工作，赴北京、省、廊坊和固安等维稳值班，做好信访工作，维持良好的信访环境。达到信访案件处置成功率90%以上，信访维稳案件解决率100%。</w:t>
      </w:r>
    </w:p>
    <w:p>
      <w:pPr>
        <w:pBdr>
          <w:top w:val="none" w:color="auto" w:sz="0" w:space="0"/>
          <w:left w:val="none" w:color="auto" w:sz="0" w:space="0"/>
          <w:bottom w:val="none" w:color="auto" w:sz="0" w:space="0"/>
          <w:right w:val="none" w:color="auto" w:sz="0" w:space="0"/>
        </w:pBdr>
        <w:autoSpaceDN w:val="0"/>
        <w:spacing w:line="576" w:lineRule="atLeast"/>
        <w:ind w:firstLine="640" w:firstLineChars="200"/>
        <w:jc w:val="left"/>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 群众工作中心运行经费项目的开展，以群众工作统揽信访工作，减少个类信访群众集体访、越级访问的问题，贯彻落实党的群众路线，执行省委、廊坊市委和市委关于群众工作群众工作的方针政策维护全市信访和谐的稳定，达到信访案件处置成功率90%以上，信访维稳案件解决率100%。</w:t>
      </w:r>
    </w:p>
    <w:p>
      <w:pPr>
        <w:pBdr>
          <w:top w:val="none" w:color="auto" w:sz="0" w:space="0"/>
          <w:left w:val="none" w:color="auto" w:sz="0" w:space="0"/>
          <w:bottom w:val="none" w:color="auto" w:sz="0" w:space="0"/>
          <w:right w:val="none" w:color="auto" w:sz="0" w:space="0"/>
        </w:pBdr>
        <w:autoSpaceDN w:val="0"/>
        <w:spacing w:line="576" w:lineRule="atLeast"/>
        <w:ind w:firstLine="640" w:firstLineChars="200"/>
        <w:jc w:val="left"/>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信访维稳资金项目的开展，通过解决涉军群体、涉房群体、劳资纠纷、环境整治等社会矛盾造成不稳定的信访维稳工作问题，达到信访案件处置成功率90%以上，信访维稳案件解决率100%。</w:t>
      </w:r>
    </w:p>
    <w:p>
      <w:pPr>
        <w:pBdr>
          <w:top w:val="none" w:color="auto" w:sz="0" w:space="0"/>
          <w:left w:val="none" w:color="auto" w:sz="0" w:space="0"/>
          <w:bottom w:val="none" w:color="auto" w:sz="0" w:space="0"/>
          <w:right w:val="none" w:color="auto" w:sz="0" w:space="0"/>
        </w:pBdr>
        <w:autoSpaceDN w:val="0"/>
        <w:spacing w:line="576" w:lineRule="atLeast"/>
        <w:ind w:firstLine="640" w:firstLineChars="200"/>
        <w:jc w:val="left"/>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离退休法官、检察官、律师、心里咨询师聘用费项目的开展，通过聘用律师参与信访案件和信访法律咨询、重大、疑难、复杂信访案件的研讨提出法律意见和建议，参与诉讼、非诉讼、调解、仲裁活动法律咨询有效参与化解信访案件，达到信访案件处置成功率90%以上，信访维稳案件解决率100%。</w:t>
      </w:r>
    </w:p>
    <w:p>
      <w:pPr>
        <w:pBdr>
          <w:top w:val="none" w:color="auto" w:sz="0" w:space="0"/>
          <w:left w:val="none" w:color="auto" w:sz="0" w:space="0"/>
          <w:bottom w:val="none" w:color="auto" w:sz="0" w:space="0"/>
          <w:right w:val="none" w:color="auto" w:sz="0" w:space="0"/>
        </w:pBdr>
        <w:autoSpaceDN w:val="0"/>
        <w:spacing w:line="576" w:lineRule="atLeast"/>
        <w:ind w:firstLine="640" w:firstLineChars="200"/>
        <w:jc w:val="left"/>
        <w:textAlignment w:val="baseline"/>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解决特殊疑难信访案件补助资金项目的开展，解决了长期积累、久拖未决、难以划分责任主体的特殊疑难信访案件，信访人息诉罢访，特殊疑难信访案件维稳解决率100%。</w:t>
      </w:r>
    </w:p>
    <w:p>
      <w:pPr>
        <w:pBdr>
          <w:top w:val="none" w:color="auto" w:sz="0" w:space="0"/>
          <w:left w:val="none" w:color="auto" w:sz="0" w:space="0"/>
          <w:bottom w:val="none" w:color="auto" w:sz="0" w:space="0"/>
          <w:right w:val="none" w:color="auto" w:sz="0" w:space="0"/>
        </w:pBdr>
        <w:autoSpaceDN w:val="0"/>
        <w:spacing w:line="576" w:lineRule="atLeast"/>
        <w:ind w:firstLine="640" w:firstLineChars="200"/>
        <w:jc w:val="left"/>
        <w:textAlignment w:val="baseline"/>
        <w:rPr>
          <w:rFonts w:hint="eastAsia" w:ascii="仿宋" w:hAnsi="仿宋" w:eastAsia="仿宋" w:cs="仿宋"/>
          <w:sz w:val="32"/>
          <w:szCs w:val="32"/>
        </w:rPr>
      </w:pPr>
      <w:r>
        <w:rPr>
          <w:rFonts w:hint="eastAsia" w:ascii="仿宋" w:hAnsi="仿宋" w:eastAsia="仿宋" w:cs="仿宋"/>
          <w:kern w:val="0"/>
          <w:sz w:val="32"/>
          <w:szCs w:val="32"/>
          <w:lang w:val="en-US" w:eastAsia="zh-CN" w:bidi="ar-SA"/>
        </w:rPr>
        <w:t>信访局工程旧欠资金的开展，负责接待处理群众上访，组织市直部门开展联合接访，协调市级领导开展接访约访，下访活动。建立重大复杂矛盾纠纷和信访突出问题，解释解答群众咨询相关问题，做好群众的思想疏导工作。达到信访案件处置成功率90%以上，信访维稳案件解决率100%。</w:t>
      </w:r>
      <w:r>
        <w:rPr>
          <w:rFonts w:hint="eastAsia" w:ascii="仿宋" w:hAnsi="仿宋" w:eastAsia="仿宋" w:cs="仿宋"/>
          <w:sz w:val="32"/>
          <w:szCs w:val="32"/>
        </w:rPr>
        <w:t>维护</w:t>
      </w:r>
      <w:r>
        <w:rPr>
          <w:rFonts w:hint="eastAsia" w:ascii="仿宋" w:hAnsi="仿宋" w:eastAsia="仿宋" w:cs="仿宋"/>
          <w:sz w:val="32"/>
          <w:szCs w:val="32"/>
          <w:lang w:val="en-US" w:eastAsia="zh-CN"/>
        </w:rPr>
        <w:t>了</w:t>
      </w:r>
      <w:r>
        <w:rPr>
          <w:rFonts w:hint="eastAsia" w:ascii="仿宋" w:hAnsi="仿宋" w:eastAsia="仿宋" w:cs="仿宋"/>
          <w:sz w:val="32"/>
          <w:szCs w:val="32"/>
        </w:rPr>
        <w:t>全市信访和谐稳定。</w:t>
      </w:r>
    </w:p>
    <w:p>
      <w:pPr>
        <w:pBdr>
          <w:top w:val="none" w:color="auto" w:sz="0" w:space="0"/>
          <w:left w:val="none" w:color="auto" w:sz="0" w:space="0"/>
          <w:bottom w:val="none" w:color="auto" w:sz="0" w:space="0"/>
          <w:right w:val="none" w:color="auto" w:sz="0" w:space="0"/>
        </w:pBdr>
        <w:autoSpaceDN w:val="0"/>
        <w:spacing w:line="576" w:lineRule="atLeast"/>
        <w:ind w:firstLine="420"/>
        <w:jc w:val="left"/>
        <w:textAlignment w:val="baseline"/>
        <w:rPr>
          <w:rFonts w:hint="eastAsia" w:ascii="仿宋" w:hAnsi="仿宋" w:eastAsia="仿宋" w:cs="仿宋"/>
          <w:color w:val="000000"/>
          <w:sz w:val="32"/>
          <w:szCs w:val="32"/>
          <w:u w:val="none"/>
        </w:rPr>
      </w:pPr>
      <w:r>
        <w:rPr>
          <w:rFonts w:hint="eastAsia" w:ascii="仿宋" w:hAnsi="仿宋" w:eastAsia="仿宋" w:cs="仿宋"/>
          <w:kern w:val="0"/>
          <w:sz w:val="32"/>
          <w:szCs w:val="32"/>
          <w:lang w:val="en-US" w:eastAsia="zh-CN" w:bidi="ar-SA"/>
        </w:rPr>
        <w:t>6个</w:t>
      </w:r>
      <w:r>
        <w:rPr>
          <w:rFonts w:hint="eastAsia" w:ascii="仿宋" w:hAnsi="仿宋" w:eastAsia="仿宋" w:cs="仿宋"/>
          <w:color w:val="000000"/>
          <w:sz w:val="32"/>
          <w:szCs w:val="32"/>
          <w:u w:val="none"/>
        </w:rPr>
        <w:t>项目</w:t>
      </w:r>
      <w:r>
        <w:rPr>
          <w:rFonts w:hint="eastAsia" w:ascii="仿宋" w:hAnsi="仿宋" w:eastAsia="仿宋" w:cs="仿宋"/>
          <w:color w:val="000000"/>
          <w:sz w:val="32"/>
          <w:szCs w:val="32"/>
          <w:u w:val="none"/>
          <w:lang w:val="en-US" w:eastAsia="zh-CN"/>
        </w:rPr>
        <w:t>2019</w:t>
      </w:r>
      <w:r>
        <w:rPr>
          <w:rFonts w:hint="eastAsia" w:ascii="仿宋" w:hAnsi="仿宋" w:eastAsia="仿宋" w:cs="仿宋"/>
          <w:color w:val="000000"/>
          <w:sz w:val="32"/>
          <w:szCs w:val="32"/>
          <w:u w:val="none"/>
        </w:rPr>
        <w:t>年预算资金</w:t>
      </w:r>
      <w:r>
        <w:rPr>
          <w:rFonts w:hint="eastAsia" w:ascii="仿宋" w:hAnsi="仿宋" w:eastAsia="仿宋" w:cs="仿宋"/>
          <w:color w:val="000000"/>
          <w:sz w:val="32"/>
          <w:szCs w:val="32"/>
          <w:u w:val="none"/>
          <w:lang w:val="en-US" w:eastAsia="zh-CN"/>
        </w:rPr>
        <w:t>474.72</w:t>
      </w:r>
      <w:r>
        <w:rPr>
          <w:rFonts w:hint="eastAsia" w:ascii="仿宋" w:hAnsi="仿宋" w:eastAsia="仿宋" w:cs="仿宋"/>
          <w:color w:val="000000"/>
          <w:sz w:val="32"/>
          <w:szCs w:val="32"/>
          <w:u w:val="none"/>
        </w:rPr>
        <w:t>万元，实际支出</w:t>
      </w:r>
      <w:r>
        <w:rPr>
          <w:rFonts w:hint="eastAsia" w:ascii="仿宋" w:hAnsi="仿宋" w:eastAsia="仿宋" w:cs="仿宋"/>
          <w:color w:val="000000"/>
          <w:sz w:val="32"/>
          <w:szCs w:val="32"/>
          <w:u w:val="none"/>
          <w:lang w:val="en-US" w:eastAsia="zh-CN"/>
        </w:rPr>
        <w:t>259.43</w:t>
      </w:r>
      <w:r>
        <w:rPr>
          <w:rFonts w:hint="eastAsia" w:ascii="仿宋" w:hAnsi="仿宋" w:eastAsia="仿宋" w:cs="仿宋"/>
          <w:color w:val="000000"/>
          <w:sz w:val="32"/>
          <w:szCs w:val="32"/>
          <w:u w:val="none"/>
        </w:rPr>
        <w:t>万元，在确保</w:t>
      </w:r>
      <w:r>
        <w:rPr>
          <w:rFonts w:hint="eastAsia" w:ascii="仿宋" w:hAnsi="仿宋" w:eastAsia="仿宋" w:cs="仿宋"/>
          <w:color w:val="000000"/>
          <w:sz w:val="32"/>
          <w:szCs w:val="32"/>
          <w:u w:val="none"/>
          <w:lang w:val="en-US" w:eastAsia="zh-CN"/>
        </w:rPr>
        <w:t>工作顺利进行</w:t>
      </w:r>
      <w:r>
        <w:rPr>
          <w:rFonts w:hint="eastAsia" w:ascii="仿宋" w:hAnsi="仿宋" w:eastAsia="仿宋" w:cs="仿宋"/>
          <w:color w:val="000000"/>
          <w:sz w:val="32"/>
          <w:szCs w:val="32"/>
          <w:u w:val="none"/>
        </w:rPr>
        <w:t>，成本控制和成本节约方面没有超出预算。对于</w:t>
      </w:r>
      <w:r>
        <w:rPr>
          <w:rFonts w:hint="eastAsia" w:ascii="仿宋" w:hAnsi="仿宋" w:eastAsia="仿宋" w:cs="仿宋"/>
          <w:color w:val="000000"/>
          <w:sz w:val="32"/>
          <w:szCs w:val="32"/>
          <w:u w:val="none"/>
          <w:lang w:val="en-US" w:eastAsia="zh-CN"/>
        </w:rPr>
        <w:t>项目</w:t>
      </w:r>
      <w:r>
        <w:rPr>
          <w:rFonts w:hint="eastAsia" w:ascii="仿宋" w:hAnsi="仿宋" w:eastAsia="仿宋" w:cs="仿宋"/>
          <w:color w:val="000000"/>
          <w:sz w:val="32"/>
          <w:szCs w:val="32"/>
          <w:u w:val="none"/>
        </w:rPr>
        <w:t>实施进度按工作计划进行，高质量完成项目</w:t>
      </w:r>
      <w:r>
        <w:rPr>
          <w:rFonts w:hint="eastAsia" w:ascii="仿宋" w:hAnsi="仿宋" w:eastAsia="仿宋" w:cs="仿宋"/>
          <w:color w:val="000000"/>
          <w:sz w:val="32"/>
          <w:szCs w:val="32"/>
          <w:u w:val="none"/>
          <w:lang w:val="en-US" w:eastAsia="zh-CN"/>
        </w:rPr>
        <w:t>工作</w:t>
      </w:r>
      <w:r>
        <w:rPr>
          <w:rFonts w:hint="eastAsia" w:ascii="仿宋" w:hAnsi="仿宋" w:eastAsia="仿宋" w:cs="仿宋"/>
          <w:color w:val="000000"/>
          <w:sz w:val="32"/>
          <w:szCs w:val="32"/>
          <w:u w:val="none"/>
        </w:rPr>
        <w:t>。</w:t>
      </w:r>
    </w:p>
    <w:p>
      <w:pPr>
        <w:pBdr>
          <w:top w:val="none" w:color="auto" w:sz="0" w:space="0"/>
          <w:left w:val="none" w:color="auto" w:sz="0" w:space="0"/>
          <w:bottom w:val="none" w:color="auto" w:sz="0" w:space="0"/>
          <w:right w:val="none" w:color="auto" w:sz="0" w:space="0"/>
        </w:pBdr>
        <w:autoSpaceDN w:val="0"/>
        <w:spacing w:line="576" w:lineRule="atLeast"/>
        <w:ind w:firstLine="420"/>
        <w:jc w:val="left"/>
        <w:textAlignment w:val="baseline"/>
        <w:rPr>
          <w:rFonts w:hint="eastAsia" w:ascii="仿宋" w:hAnsi="仿宋" w:eastAsia="仿宋" w:cs="仿宋"/>
          <w:sz w:val="32"/>
          <w:szCs w:val="32"/>
        </w:rPr>
      </w:pPr>
      <w:r>
        <w:rPr>
          <w:rFonts w:hint="eastAsia" w:ascii="仿宋" w:hAnsi="仿宋" w:eastAsia="仿宋" w:cs="仿宋"/>
          <w:color w:val="000000"/>
          <w:sz w:val="32"/>
          <w:szCs w:val="32"/>
          <w:u w:val="none"/>
          <w:lang w:val="en-US" w:eastAsia="zh-CN"/>
        </w:rPr>
        <w:t>2019</w:t>
      </w:r>
      <w:r>
        <w:rPr>
          <w:rFonts w:hint="eastAsia" w:ascii="仿宋" w:hAnsi="仿宋" w:eastAsia="仿宋" w:cs="仿宋"/>
          <w:color w:val="000000"/>
          <w:sz w:val="32"/>
          <w:szCs w:val="32"/>
          <w:u w:val="none"/>
        </w:rPr>
        <w:t>年12月底，我局已完成该项目预期目标，</w:t>
      </w:r>
      <w:r>
        <w:rPr>
          <w:rFonts w:hint="eastAsia" w:ascii="仿宋" w:hAnsi="仿宋" w:eastAsia="仿宋" w:cs="仿宋"/>
          <w:color w:val="000000"/>
          <w:sz w:val="32"/>
          <w:szCs w:val="32"/>
          <w:u w:val="none"/>
          <w:lang w:val="en-US" w:eastAsia="zh-CN"/>
        </w:rPr>
        <w:t>保障信访工作圆满完成；通过</w:t>
      </w:r>
      <w:r>
        <w:rPr>
          <w:rFonts w:hint="eastAsia" w:ascii="仿宋" w:hAnsi="仿宋" w:eastAsia="仿宋" w:cs="仿宋"/>
          <w:color w:val="000000"/>
          <w:sz w:val="32"/>
          <w:szCs w:val="32"/>
          <w:u w:val="none"/>
        </w:rPr>
        <w:t>项目的实施，</w:t>
      </w:r>
      <w:r>
        <w:rPr>
          <w:rFonts w:hint="eastAsia" w:ascii="仿宋" w:hAnsi="仿宋" w:eastAsia="仿宋" w:cs="仿宋"/>
          <w:kern w:val="0"/>
          <w:sz w:val="32"/>
          <w:szCs w:val="32"/>
          <w:lang w:val="en-US" w:eastAsia="zh-CN" w:bidi="ar-SA"/>
        </w:rPr>
        <w:t>达到信访案件处置成功率90%以上，信访维稳案件解决率100%。</w:t>
      </w:r>
      <w:r>
        <w:rPr>
          <w:rFonts w:hint="eastAsia" w:ascii="仿宋" w:hAnsi="仿宋" w:eastAsia="仿宋" w:cs="仿宋"/>
          <w:sz w:val="32"/>
          <w:szCs w:val="32"/>
        </w:rPr>
        <w:t>维护</w:t>
      </w:r>
      <w:r>
        <w:rPr>
          <w:rFonts w:hint="eastAsia" w:ascii="仿宋" w:hAnsi="仿宋" w:eastAsia="仿宋" w:cs="仿宋"/>
          <w:sz w:val="32"/>
          <w:szCs w:val="32"/>
          <w:lang w:val="en-US" w:eastAsia="zh-CN"/>
        </w:rPr>
        <w:t>了</w:t>
      </w:r>
      <w:r>
        <w:rPr>
          <w:rFonts w:hint="eastAsia" w:ascii="仿宋" w:hAnsi="仿宋" w:eastAsia="仿宋" w:cs="仿宋"/>
          <w:sz w:val="32"/>
          <w:szCs w:val="32"/>
        </w:rPr>
        <w:t>全市信访和谐稳定。</w:t>
      </w:r>
    </w:p>
    <w:p>
      <w:pPr>
        <w:pStyle w:val="35"/>
        <w:widowControl/>
        <w:numPr>
          <w:ilvl w:val="0"/>
          <w:numId w:val="0"/>
        </w:numPr>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55" w:lineRule="atLeast"/>
        <w:ind w:right="0" w:firstLine="640" w:firstLineChars="200"/>
        <w:rPr>
          <w:rFonts w:hint="eastAsia" w:ascii="仿宋" w:hAnsi="仿宋" w:eastAsia="仿宋" w:cs="仿宋"/>
          <w:b w:val="0"/>
          <w:bCs w:val="0"/>
          <w:sz w:val="21"/>
          <w:szCs w:val="21"/>
          <w:highlight w:val="none"/>
        </w:rPr>
      </w:pPr>
      <w:r>
        <w:rPr>
          <w:rFonts w:hint="eastAsia" w:ascii="仿宋" w:hAnsi="仿宋" w:eastAsia="仿宋" w:cs="仿宋"/>
          <w:sz w:val="32"/>
          <w:szCs w:val="32"/>
        </w:rPr>
        <w:t>质量指标、时效指标设定比较定性，不好</w:t>
      </w:r>
      <w:r>
        <w:rPr>
          <w:rFonts w:hint="eastAsia" w:ascii="仿宋" w:hAnsi="仿宋" w:eastAsia="仿宋" w:cs="仿宋"/>
          <w:sz w:val="32"/>
          <w:szCs w:val="32"/>
          <w:lang w:val="en-US" w:eastAsia="zh-CN"/>
        </w:rPr>
        <w:t>评价</w:t>
      </w:r>
      <w:r>
        <w:rPr>
          <w:rFonts w:hint="eastAsia" w:ascii="仿宋" w:hAnsi="仿宋" w:eastAsia="仿宋" w:cs="仿宋"/>
          <w:sz w:val="32"/>
          <w:szCs w:val="32"/>
        </w:rPr>
        <w:t>。社会效益指标设定比较宏观，不便于考核；指标设定要</w:t>
      </w:r>
      <w:r>
        <w:rPr>
          <w:rFonts w:hint="eastAsia" w:ascii="仿宋" w:hAnsi="仿宋" w:eastAsia="仿宋" w:cs="仿宋"/>
          <w:sz w:val="32"/>
          <w:szCs w:val="32"/>
          <w:lang w:val="en-US" w:eastAsia="zh-CN"/>
        </w:rPr>
        <w:t>细化</w:t>
      </w:r>
      <w:r>
        <w:rPr>
          <w:rFonts w:hint="eastAsia" w:ascii="仿宋" w:hAnsi="仿宋" w:eastAsia="仿宋" w:cs="仿宋"/>
          <w:sz w:val="32"/>
          <w:szCs w:val="32"/>
        </w:rPr>
        <w:t>，便于衡量和评价。</w:t>
      </w:r>
      <w:bookmarkEnd w:id="0"/>
    </w:p>
    <w:p>
      <w:pPr>
        <w:numPr>
          <w:ilvl w:val="0"/>
          <w:numId w:val="2"/>
        </w:numPr>
        <w:adjustRightInd w:val="0"/>
        <w:snapToGrid w:val="0"/>
        <w:spacing w:line="58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部门决算中项目绩效自评结果。</w:t>
      </w:r>
    </w:p>
    <w:p>
      <w:pPr>
        <w:shd w:val="solid" w:color="FFFFFF" w:fill="auto"/>
        <w:autoSpaceDN w:val="0"/>
        <w:spacing w:line="520" w:lineRule="atLeast"/>
        <w:ind w:firstLine="600"/>
        <w:rPr>
          <w:rFonts w:hint="eastAsia" w:ascii="仿宋" w:hAnsi="仿宋" w:eastAsia="仿宋" w:cs="仿宋"/>
          <w:b w:val="0"/>
          <w:i w:val="0"/>
          <w:color w:val="333333"/>
          <w:sz w:val="32"/>
          <w:szCs w:val="32"/>
          <w:shd w:val="clear" w:color="auto" w:fill="FFFFFF"/>
        </w:rPr>
      </w:pPr>
      <w:r>
        <w:rPr>
          <w:rFonts w:hint="eastAsia" w:ascii="仿宋" w:hAnsi="仿宋" w:eastAsia="仿宋" w:cs="仿宋"/>
          <w:b w:val="0"/>
          <w:i w:val="0"/>
          <w:color w:val="333333"/>
          <w:sz w:val="32"/>
          <w:szCs w:val="32"/>
          <w:shd w:val="clear" w:color="auto" w:fill="FFFFFF"/>
        </w:rPr>
        <w:t>我局绩效评价工作采取自行组织的形式进行，主要通过收集单位数据资料、实地核查、重点抽查等方式进行现场评价、打分，并反馈绩效评价结果。</w:t>
      </w:r>
    </w:p>
    <w:p>
      <w:pPr>
        <w:shd w:val="solid" w:color="FFFFFF" w:fill="auto"/>
        <w:autoSpaceDN w:val="0"/>
        <w:spacing w:line="520" w:lineRule="atLeast"/>
        <w:ind w:firstLine="600"/>
        <w:rPr>
          <w:rFonts w:hint="eastAsia" w:ascii="仿宋" w:hAnsi="仿宋" w:eastAsia="仿宋" w:cs="仿宋"/>
          <w:b w:val="0"/>
          <w:i w:val="0"/>
          <w:color w:val="333333"/>
          <w:sz w:val="32"/>
          <w:szCs w:val="32"/>
          <w:shd w:val="clear" w:color="auto" w:fill="FFFFFF"/>
        </w:rPr>
      </w:pPr>
    </w:p>
    <w:p>
      <w:pPr>
        <w:shd w:val="solid" w:color="FFFFFF" w:fill="auto"/>
        <w:autoSpaceDN w:val="0"/>
        <w:spacing w:line="520" w:lineRule="atLeast"/>
        <w:rPr>
          <w:rFonts w:hint="eastAsia" w:ascii="仿宋" w:hAnsi="仿宋" w:eastAsia="仿宋" w:cs="仿宋"/>
          <w:b w:val="0"/>
          <w:i w:val="0"/>
          <w:color w:val="333333"/>
          <w:sz w:val="32"/>
          <w:szCs w:val="32"/>
          <w:shd w:val="clear" w:color="auto" w:fill="FFFFFF"/>
        </w:rPr>
      </w:pPr>
      <w:r>
        <w:drawing>
          <wp:inline distT="0" distB="0" distL="114300" distR="114300">
            <wp:extent cx="5609590" cy="7783830"/>
            <wp:effectExtent l="0" t="0" r="10160" b="7620"/>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4"/>
                    <a:stretch>
                      <a:fillRect/>
                    </a:stretch>
                  </pic:blipFill>
                  <pic:spPr>
                    <a:xfrm>
                      <a:off x="0" y="0"/>
                      <a:ext cx="5609590" cy="7783830"/>
                    </a:xfrm>
                    <a:prstGeom prst="rect">
                      <a:avLst/>
                    </a:prstGeom>
                    <a:noFill/>
                    <a:ln>
                      <a:noFill/>
                    </a:ln>
                  </pic:spPr>
                </pic:pic>
              </a:graphicData>
            </a:graphic>
          </wp:inline>
        </w:drawing>
      </w:r>
    </w:p>
    <w:p>
      <w:pPr>
        <w:shd w:val="solid" w:color="FFFFFF" w:fill="auto"/>
        <w:autoSpaceDN w:val="0"/>
        <w:spacing w:line="520" w:lineRule="atLeast"/>
        <w:rPr>
          <w:rFonts w:hint="eastAsia" w:ascii="仿宋" w:hAnsi="仿宋" w:eastAsia="仿宋" w:cs="仿宋"/>
          <w:b w:val="0"/>
          <w:i w:val="0"/>
          <w:color w:val="333333"/>
          <w:sz w:val="32"/>
          <w:szCs w:val="32"/>
          <w:shd w:val="clear" w:color="auto" w:fill="FFFFFF"/>
        </w:rPr>
      </w:pPr>
      <w:r>
        <w:drawing>
          <wp:inline distT="0" distB="0" distL="114300" distR="114300">
            <wp:extent cx="5613400" cy="7994015"/>
            <wp:effectExtent l="0" t="0" r="6350" b="698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5"/>
                    <a:stretch>
                      <a:fillRect/>
                    </a:stretch>
                  </pic:blipFill>
                  <pic:spPr>
                    <a:xfrm>
                      <a:off x="0" y="0"/>
                      <a:ext cx="5613400" cy="7994015"/>
                    </a:xfrm>
                    <a:prstGeom prst="rect">
                      <a:avLst/>
                    </a:prstGeom>
                    <a:noFill/>
                    <a:ln>
                      <a:noFill/>
                    </a:ln>
                  </pic:spPr>
                </pic:pic>
              </a:graphicData>
            </a:graphic>
          </wp:inline>
        </w:drawing>
      </w:r>
    </w:p>
    <w:p>
      <w:pPr>
        <w:shd w:val="solid" w:color="FFFFFF" w:fill="auto"/>
        <w:autoSpaceDN w:val="0"/>
        <w:spacing w:line="520" w:lineRule="atLeast"/>
        <w:rPr>
          <w:rFonts w:hint="eastAsia" w:ascii="仿宋" w:hAnsi="仿宋" w:eastAsia="仿宋" w:cs="仿宋"/>
          <w:b w:val="0"/>
          <w:i w:val="0"/>
          <w:color w:val="333333"/>
          <w:sz w:val="32"/>
          <w:szCs w:val="32"/>
          <w:shd w:val="clear" w:color="auto" w:fill="FFFFFF"/>
        </w:rPr>
      </w:pPr>
      <w:r>
        <w:drawing>
          <wp:inline distT="0" distB="0" distL="114300" distR="114300">
            <wp:extent cx="5359400" cy="7630160"/>
            <wp:effectExtent l="0" t="0" r="12700" b="889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6"/>
                    <a:stretch>
                      <a:fillRect/>
                    </a:stretch>
                  </pic:blipFill>
                  <pic:spPr>
                    <a:xfrm>
                      <a:off x="0" y="0"/>
                      <a:ext cx="5359400" cy="7630160"/>
                    </a:xfrm>
                    <a:prstGeom prst="rect">
                      <a:avLst/>
                    </a:prstGeom>
                    <a:noFill/>
                    <a:ln>
                      <a:noFill/>
                    </a:ln>
                  </pic:spPr>
                </pic:pic>
              </a:graphicData>
            </a:graphic>
          </wp:inline>
        </w:drawing>
      </w:r>
    </w:p>
    <w:p>
      <w:pPr>
        <w:shd w:val="solid" w:color="FFFFFF" w:fill="auto"/>
        <w:autoSpaceDN w:val="0"/>
        <w:spacing w:line="520" w:lineRule="atLeast"/>
        <w:rPr>
          <w:rFonts w:hint="eastAsia" w:ascii="仿宋" w:hAnsi="仿宋" w:eastAsia="仿宋" w:cs="仿宋"/>
          <w:b/>
          <w:bCs/>
          <w:sz w:val="32"/>
          <w:szCs w:val="32"/>
          <w:highlight w:val="none"/>
        </w:rPr>
      </w:pPr>
      <w:r>
        <w:drawing>
          <wp:inline distT="0" distB="0" distL="114300" distR="114300">
            <wp:extent cx="5609590" cy="7783830"/>
            <wp:effectExtent l="0" t="0" r="10160" b="7620"/>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7"/>
                    <a:stretch>
                      <a:fillRect/>
                    </a:stretch>
                  </pic:blipFill>
                  <pic:spPr>
                    <a:xfrm>
                      <a:off x="0" y="0"/>
                      <a:ext cx="5609590" cy="778383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仿宋" w:hAnsi="仿宋" w:eastAsia="仿宋" w:cs="仿宋"/>
          <w:b/>
          <w:bCs/>
          <w:sz w:val="32"/>
          <w:szCs w:val="32"/>
          <w:highlight w:val="none"/>
        </w:rPr>
      </w:pPr>
      <w:r>
        <w:drawing>
          <wp:inline distT="0" distB="0" distL="114300" distR="114300">
            <wp:extent cx="5615305" cy="7729855"/>
            <wp:effectExtent l="0" t="0" r="4445" b="444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5615305" cy="7729855"/>
                    </a:xfrm>
                    <a:prstGeom prst="rect">
                      <a:avLst/>
                    </a:prstGeom>
                    <a:noFill/>
                    <a:ln>
                      <a:noFill/>
                    </a:ln>
                  </pic:spPr>
                </pic:pic>
              </a:graphicData>
            </a:graphic>
          </wp:inline>
        </w:drawing>
      </w:r>
    </w:p>
    <w:p>
      <w:pPr>
        <w:rPr>
          <w:rFonts w:hint="default"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eastAsia="zh-CN"/>
        </w:rPr>
        <w:object>
          <v:shape id="_x0000_i1025" o:spt="75" type="#_x0000_t75" style="height:687.5pt;width:442.7pt;" o:ole="t" filled="f" o:preferrelative="t" stroked="f" coordsize="21600,21600">
            <v:path/>
            <v:fill on="f" focussize="0,0"/>
            <v:stroke on="f"/>
            <v:imagedata r:id="rId10" o:title=""/>
            <o:lock v:ext="edit" aspectratio="t"/>
            <w10:wrap type="none"/>
            <w10:anchorlock/>
          </v:shape>
          <o:OLEObject Type="Embed" ProgID="Excel.Sheet.8" ShapeID="_x0000_i1025" DrawAspect="Content" ObjectID="_1468075725" r:id="rId9">
            <o:LockedField>false</o:LockedField>
          </o:OLEObject>
        </w:object>
      </w:r>
    </w:p>
    <w:p>
      <w:pPr>
        <w:numPr>
          <w:ilvl w:val="0"/>
          <w:numId w:val="2"/>
        </w:numPr>
        <w:adjustRightInd w:val="0"/>
        <w:snapToGrid w:val="0"/>
        <w:spacing w:line="580" w:lineRule="exact"/>
        <w:ind w:firstLine="643" w:firstLineChars="200"/>
        <w:rPr>
          <w:rFonts w:hint="eastAsia" w:ascii="仿宋" w:hAnsi="仿宋" w:eastAsia="仿宋" w:cs="仿宋"/>
          <w:b/>
          <w:bCs/>
          <w:sz w:val="32"/>
          <w:szCs w:val="32"/>
          <w:highlight w:val="none"/>
        </w:rPr>
      </w:pPr>
      <w:r>
        <w:rPr>
          <w:rFonts w:hint="eastAsia" w:ascii="仿宋" w:hAnsi="仿宋" w:eastAsia="仿宋" w:cs="仿宋"/>
          <w:b/>
          <w:bCs/>
          <w:sz w:val="32"/>
          <w:szCs w:val="32"/>
          <w:highlight w:val="none"/>
          <w:lang w:val="en-US" w:eastAsia="zh-CN"/>
        </w:rPr>
        <w:t>财政评价项目绩效评价结果</w:t>
      </w:r>
    </w:p>
    <w:p>
      <w:pPr>
        <w:pStyle w:val="3"/>
        <w:spacing w:before="0" w:after="0" w:line="580" w:lineRule="exact"/>
        <w:ind w:firstLine="640" w:firstLineChars="200"/>
        <w:rPr>
          <w:rFonts w:hint="default" w:ascii="仿宋" w:hAnsi="仿宋" w:eastAsia="仿宋" w:cs="仿宋"/>
          <w:b w:val="0"/>
          <w:bCs/>
          <w:kern w:val="2"/>
          <w:sz w:val="32"/>
          <w:szCs w:val="32"/>
          <w:highlight w:val="none"/>
          <w:lang w:val="en-US" w:eastAsia="zh-CN" w:bidi="ar-SA"/>
        </w:rPr>
      </w:pPr>
      <w:r>
        <w:rPr>
          <w:rFonts w:hint="eastAsia" w:ascii="仿宋" w:hAnsi="仿宋" w:eastAsia="仿宋" w:cs="仿宋"/>
          <w:b w:val="0"/>
          <w:bCs/>
          <w:kern w:val="2"/>
          <w:sz w:val="32"/>
          <w:szCs w:val="32"/>
          <w:highlight w:val="none"/>
          <w:lang w:val="en-US" w:eastAsia="zh-CN" w:bidi="ar-SA"/>
        </w:rPr>
        <w:t>2019年度无财政评价项目绩效评价</w:t>
      </w:r>
    </w:p>
    <w:p>
      <w:pPr>
        <w:pStyle w:val="3"/>
        <w:spacing w:before="0" w:after="0" w:line="580" w:lineRule="exact"/>
        <w:ind w:firstLine="640" w:firstLineChars="200"/>
        <w:rPr>
          <w:rFonts w:hint="eastAsia" w:ascii="仿宋" w:hAnsi="仿宋" w:eastAsia="仿宋" w:cs="仿宋"/>
          <w:b w:val="0"/>
          <w:bCs w:val="0"/>
          <w:highlight w:val="none"/>
        </w:rPr>
      </w:pPr>
      <w:r>
        <w:rPr>
          <w:rFonts w:hint="eastAsia" w:ascii="仿宋" w:hAnsi="仿宋" w:eastAsia="仿宋" w:cs="仿宋"/>
          <w:b w:val="0"/>
          <w:bCs w:val="0"/>
          <w:highlight w:val="none"/>
        </w:rPr>
        <w:t>七、其他重要事项的说明</w:t>
      </w:r>
    </w:p>
    <w:p>
      <w:pPr>
        <w:pStyle w:val="4"/>
        <w:spacing w:before="0" w:after="0" w:line="580" w:lineRule="exact"/>
        <w:ind w:firstLine="643" w:firstLineChars="200"/>
        <w:rPr>
          <w:rFonts w:hint="eastAsia" w:ascii="仿宋" w:hAnsi="仿宋" w:eastAsia="仿宋" w:cs="仿宋"/>
          <w:highlight w:val="none"/>
        </w:rPr>
      </w:pPr>
      <w:r>
        <w:rPr>
          <w:rFonts w:hint="eastAsia" w:ascii="仿宋" w:hAnsi="仿宋" w:eastAsia="仿宋" w:cs="仿宋"/>
          <w:highlight w:val="none"/>
        </w:rPr>
        <w:t>（一）机关运行经费情况</w:t>
      </w:r>
    </w:p>
    <w:p>
      <w:pPr>
        <w:pStyle w:val="4"/>
        <w:spacing w:before="0" w:after="0" w:line="580" w:lineRule="exact"/>
        <w:ind w:firstLine="640" w:firstLineChars="200"/>
        <w:rPr>
          <w:rFonts w:hint="eastAsia" w:ascii="仿宋" w:hAnsi="仿宋" w:eastAsia="仿宋" w:cs="仿宋"/>
          <w:b w:val="0"/>
          <w:highlight w:val="none"/>
          <w:lang w:val="en-US" w:eastAsia="zh-CN"/>
        </w:rPr>
      </w:pPr>
      <w:r>
        <w:rPr>
          <w:rFonts w:hint="eastAsia" w:ascii="仿宋" w:hAnsi="仿宋" w:eastAsia="仿宋" w:cs="仿宋"/>
          <w:b w:val="0"/>
          <w:highlight w:val="none"/>
        </w:rPr>
        <w:t>本部门2019年度机关运行经费支出</w:t>
      </w:r>
      <w:r>
        <w:rPr>
          <w:rFonts w:hint="eastAsia" w:ascii="仿宋" w:hAnsi="仿宋" w:eastAsia="仿宋" w:cs="仿宋"/>
          <w:b w:val="0"/>
          <w:highlight w:val="none"/>
          <w:lang w:val="en-US" w:eastAsia="zh-CN"/>
        </w:rPr>
        <w:t>48.55</w:t>
      </w:r>
      <w:r>
        <w:rPr>
          <w:rFonts w:hint="eastAsia" w:ascii="仿宋" w:hAnsi="仿宋" w:eastAsia="仿宋" w:cs="仿宋"/>
          <w:b w:val="0"/>
          <w:highlight w:val="none"/>
        </w:rPr>
        <w:t>万元，比2018年度减少</w:t>
      </w:r>
      <w:r>
        <w:rPr>
          <w:rFonts w:hint="eastAsia" w:ascii="仿宋" w:hAnsi="仿宋" w:eastAsia="仿宋" w:cs="仿宋"/>
          <w:b w:val="0"/>
          <w:highlight w:val="none"/>
          <w:lang w:val="en-US" w:eastAsia="zh-CN"/>
        </w:rPr>
        <w:t>54.1</w:t>
      </w:r>
      <w:r>
        <w:rPr>
          <w:rFonts w:hint="eastAsia" w:ascii="仿宋" w:hAnsi="仿宋" w:eastAsia="仿宋" w:cs="仿宋"/>
          <w:b w:val="0"/>
          <w:highlight w:val="none"/>
        </w:rPr>
        <w:t>万元，降低</w:t>
      </w:r>
      <w:r>
        <w:rPr>
          <w:rFonts w:hint="eastAsia" w:ascii="仿宋" w:hAnsi="仿宋" w:eastAsia="仿宋" w:cs="仿宋"/>
          <w:b w:val="0"/>
          <w:highlight w:val="none"/>
          <w:lang w:val="en-US" w:eastAsia="zh-CN"/>
        </w:rPr>
        <w:t>52.70</w:t>
      </w:r>
      <w:r>
        <w:rPr>
          <w:rFonts w:hint="eastAsia" w:ascii="仿宋" w:hAnsi="仿宋" w:eastAsia="仿宋" w:cs="仿宋"/>
          <w:b w:val="0"/>
          <w:highlight w:val="none"/>
        </w:rPr>
        <w:t>%。主要原因是严格落实中央“八项规定，厉行节约”</w:t>
      </w:r>
      <w:r>
        <w:rPr>
          <w:rFonts w:hint="eastAsia" w:ascii="仿宋" w:hAnsi="仿宋" w:eastAsia="仿宋" w:cs="仿宋"/>
          <w:b w:val="0"/>
          <w:highlight w:val="none"/>
          <w:lang w:val="en-US" w:eastAsia="zh-CN"/>
        </w:rPr>
        <w:t>；比2019年预算减少2.11万元，降低4.17%，</w:t>
      </w:r>
      <w:r>
        <w:rPr>
          <w:rFonts w:hint="eastAsia" w:ascii="仿宋" w:hAnsi="仿宋" w:eastAsia="仿宋" w:cs="仿宋"/>
          <w:b w:val="0"/>
          <w:highlight w:val="none"/>
        </w:rPr>
        <w:t>主要原因是严格落实中央“八项规定，厉行节约”</w:t>
      </w:r>
      <w:r>
        <w:rPr>
          <w:rFonts w:hint="eastAsia" w:ascii="仿宋" w:hAnsi="仿宋" w:eastAsia="仿宋" w:cs="仿宋"/>
          <w:b w:val="0"/>
          <w:highlight w:val="none"/>
          <w:lang w:eastAsia="zh-CN"/>
        </w:rPr>
        <w:t>。</w:t>
      </w:r>
    </w:p>
    <w:p>
      <w:pPr>
        <w:pStyle w:val="4"/>
        <w:spacing w:before="0" w:after="0" w:line="580" w:lineRule="exact"/>
        <w:ind w:firstLine="643" w:firstLineChars="200"/>
        <w:rPr>
          <w:rFonts w:hint="eastAsia" w:ascii="仿宋" w:hAnsi="仿宋" w:eastAsia="仿宋" w:cs="仿宋"/>
          <w:highlight w:val="none"/>
        </w:rPr>
      </w:pPr>
      <w:r>
        <w:rPr>
          <w:rFonts w:hint="eastAsia" w:ascii="仿宋" w:hAnsi="仿宋" w:eastAsia="仿宋" w:cs="仿宋"/>
          <w:highlight w:val="none"/>
        </w:rPr>
        <w:t>（二）政府采购情况</w:t>
      </w:r>
    </w:p>
    <w:p>
      <w:pPr>
        <w:widowControl/>
        <w:spacing w:after="0" w:line="580" w:lineRule="exact"/>
        <w:ind w:firstLine="640" w:firstLineChars="200"/>
        <w:jc w:val="left"/>
        <w:rPr>
          <w:rFonts w:hint="eastAsia"/>
        </w:rPr>
      </w:pPr>
      <w:r>
        <w:rPr>
          <w:rFonts w:hint="eastAsia" w:ascii="仿宋" w:hAnsi="仿宋" w:eastAsia="仿宋" w:cs="仿宋"/>
          <w:sz w:val="32"/>
          <w:szCs w:val="32"/>
        </w:rPr>
        <w:t>本部门2019年度政府采购支出总额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万元，从采购类型来看，</w:t>
      </w:r>
      <w:r>
        <w:rPr>
          <w:rFonts w:hint="eastAsia" w:ascii="仿宋" w:hAnsi="仿宋" w:eastAsia="仿宋" w:cs="仿宋"/>
          <w:color w:val="000000"/>
          <w:kern w:val="0"/>
          <w:sz w:val="32"/>
          <w:szCs w:val="32"/>
        </w:rPr>
        <w:t>政府采购货物支出0万元、政府采购工程支出0万元、政府采购服务支出</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万元。授予中小企业合同金</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万元，占政府采购支出总额的</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%，其中授予小微企业合同金额</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万元，占政府采购支出总额的</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w:t>
      </w:r>
      <w:bookmarkStart w:id="1" w:name="_GoBack"/>
      <w:bookmarkEnd w:id="1"/>
    </w:p>
    <w:p>
      <w:pPr>
        <w:pStyle w:val="4"/>
        <w:spacing w:before="0" w:after="0" w:line="580" w:lineRule="exact"/>
        <w:ind w:firstLine="643" w:firstLineChars="200"/>
        <w:rPr>
          <w:rFonts w:hint="eastAsia" w:ascii="仿宋" w:hAnsi="仿宋" w:eastAsia="仿宋" w:cs="仿宋"/>
          <w:highlight w:val="none"/>
        </w:rPr>
      </w:pPr>
      <w:r>
        <w:rPr>
          <w:rFonts w:hint="eastAsia" w:ascii="仿宋" w:hAnsi="仿宋" w:eastAsia="仿宋" w:cs="仿宋"/>
          <w:highlight w:val="none"/>
        </w:rPr>
        <w:t>（</w:t>
      </w:r>
      <w:r>
        <w:rPr>
          <w:rFonts w:hint="eastAsia" w:ascii="仿宋" w:hAnsi="仿宋" w:eastAsia="仿宋" w:cs="仿宋"/>
          <w:highlight w:val="none"/>
          <w:lang w:val="en-US" w:eastAsia="zh-CN"/>
        </w:rPr>
        <w:t>三</w:t>
      </w:r>
      <w:r>
        <w:rPr>
          <w:rFonts w:hint="eastAsia" w:ascii="仿宋" w:hAnsi="仿宋" w:eastAsia="仿宋" w:cs="仿宋"/>
          <w:highlight w:val="none"/>
        </w:rPr>
        <w:t>）国有资产占用情况</w:t>
      </w:r>
    </w:p>
    <w:p>
      <w:pPr>
        <w:adjustRightInd w:val="0"/>
        <w:snapToGrid w:val="0"/>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截至2019年12月31日，本部门共有车辆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辆，比上年</w:t>
      </w:r>
      <w:r>
        <w:rPr>
          <w:rFonts w:hint="eastAsia" w:ascii="仿宋" w:hAnsi="仿宋" w:eastAsia="仿宋" w:cs="仿宋"/>
          <w:sz w:val="32"/>
          <w:szCs w:val="32"/>
          <w:highlight w:val="none"/>
          <w:lang w:val="en-US" w:eastAsia="zh-CN"/>
        </w:rPr>
        <w:t>相比无变化。</w:t>
      </w:r>
      <w:r>
        <w:rPr>
          <w:rFonts w:hint="eastAsia" w:ascii="仿宋" w:hAnsi="仿宋" w:eastAsia="仿宋" w:cs="仿宋"/>
          <w:sz w:val="32"/>
          <w:szCs w:val="32"/>
          <w:highlight w:val="none"/>
        </w:rPr>
        <w:t>其中，副部（省）级及以上领导用车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辆，主要领导干部用车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辆，机要通信用车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辆，应急保障用车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辆，执法执勤用车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辆，离退休干部用车</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辆，其他用车是大众汽车牌</w:t>
      </w:r>
      <w:r>
        <w:rPr>
          <w:rFonts w:hint="eastAsia" w:ascii="仿宋" w:hAnsi="仿宋" w:eastAsia="仿宋" w:cs="仿宋"/>
          <w:sz w:val="32"/>
          <w:szCs w:val="32"/>
          <w:highlight w:val="none"/>
          <w:lang w:val="en-US" w:eastAsia="zh-CN"/>
        </w:rPr>
        <w:t>冀R6127p。</w:t>
      </w:r>
    </w:p>
    <w:p>
      <w:pPr>
        <w:adjustRightInd w:val="0"/>
        <w:snapToGrid w:val="0"/>
        <w:spacing w:line="580" w:lineRule="exact"/>
        <w:ind w:firstLine="640" w:firstLineChars="200"/>
        <w:rPr>
          <w:rFonts w:hint="eastAsia" w:ascii="仿宋" w:hAnsi="仿宋" w:eastAsia="仿宋" w:cs="仿宋"/>
          <w:b/>
          <w:bCs/>
          <w:sz w:val="32"/>
          <w:szCs w:val="32"/>
          <w:highlight w:val="none"/>
          <w:lang w:val="en-US" w:eastAsia="zh-CN"/>
        </w:rPr>
      </w:pPr>
      <w:r>
        <w:rPr>
          <w:rFonts w:hint="eastAsia" w:ascii="仿宋" w:hAnsi="仿宋" w:eastAsia="仿宋" w:cs="仿宋"/>
          <w:sz w:val="32"/>
          <w:szCs w:val="32"/>
          <w:highlight w:val="none"/>
        </w:rPr>
        <w:t>单位价值50万元以上通用设备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上年</w:t>
      </w:r>
      <w:r>
        <w:rPr>
          <w:rFonts w:hint="eastAsia" w:ascii="仿宋" w:hAnsi="仿宋" w:eastAsia="仿宋" w:cs="仿宋"/>
          <w:sz w:val="32"/>
          <w:szCs w:val="32"/>
          <w:highlight w:val="none"/>
          <w:lang w:val="en-US" w:eastAsia="zh-CN"/>
        </w:rPr>
        <w:t>持平</w:t>
      </w:r>
      <w:r>
        <w:rPr>
          <w:rFonts w:hint="eastAsia" w:ascii="仿宋" w:hAnsi="仿宋" w:eastAsia="仿宋" w:cs="仿宋"/>
          <w:sz w:val="32"/>
          <w:szCs w:val="32"/>
          <w:highlight w:val="none"/>
        </w:rPr>
        <w:t xml:space="preserve"> ，单位价值100万元以上专用设备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上年</w:t>
      </w:r>
      <w:r>
        <w:rPr>
          <w:rFonts w:hint="eastAsia" w:ascii="仿宋" w:hAnsi="仿宋" w:eastAsia="仿宋" w:cs="仿宋"/>
          <w:sz w:val="32"/>
          <w:szCs w:val="32"/>
          <w:highlight w:val="none"/>
          <w:lang w:val="en-US" w:eastAsia="zh-CN"/>
        </w:rPr>
        <w:t>持平。</w:t>
      </w:r>
    </w:p>
    <w:p>
      <w:pPr>
        <w:pStyle w:val="4"/>
        <w:spacing w:before="0" w:after="0" w:line="580" w:lineRule="exact"/>
        <w:ind w:firstLine="643" w:firstLineChars="200"/>
        <w:rPr>
          <w:rFonts w:hint="eastAsia" w:ascii="仿宋" w:hAnsi="仿宋" w:eastAsia="仿宋" w:cs="仿宋"/>
          <w:highlight w:val="none"/>
        </w:rPr>
      </w:pPr>
      <w:r>
        <w:rPr>
          <w:rFonts w:hint="eastAsia" w:ascii="仿宋" w:hAnsi="仿宋" w:eastAsia="仿宋" w:cs="仿宋"/>
          <w:highlight w:val="none"/>
        </w:rPr>
        <w:t>（</w:t>
      </w:r>
      <w:r>
        <w:rPr>
          <w:rFonts w:hint="eastAsia" w:ascii="仿宋" w:hAnsi="仿宋" w:eastAsia="仿宋" w:cs="仿宋"/>
          <w:highlight w:val="none"/>
          <w:lang w:val="en-US" w:eastAsia="zh-CN"/>
        </w:rPr>
        <w:t>四</w:t>
      </w:r>
      <w:r>
        <w:rPr>
          <w:rFonts w:hint="eastAsia" w:ascii="仿宋" w:hAnsi="仿宋" w:eastAsia="仿宋" w:cs="仿宋"/>
          <w:highlight w:val="none"/>
        </w:rPr>
        <w:t>）其他需要说明的情况</w:t>
      </w:r>
    </w:p>
    <w:p>
      <w:pPr>
        <w:adjustRightInd w:val="0"/>
        <w:snapToGrid w:val="0"/>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 本部门2019年度政府性基金预算财政拨款收入支出</w:t>
      </w:r>
      <w:r>
        <w:rPr>
          <w:rFonts w:hint="eastAsia" w:ascii="仿宋" w:hAnsi="仿宋" w:eastAsia="仿宋" w:cs="仿宋"/>
          <w:sz w:val="32"/>
          <w:szCs w:val="32"/>
          <w:highlight w:val="none"/>
          <w:lang w:eastAsia="zh-CN"/>
        </w:rPr>
        <w:t>、国有资本经营预算财政拨款支出</w:t>
      </w:r>
      <w:r>
        <w:rPr>
          <w:rFonts w:hint="eastAsia" w:ascii="仿宋" w:hAnsi="仿宋" w:eastAsia="仿宋" w:cs="仿宋"/>
          <w:sz w:val="32"/>
          <w:szCs w:val="32"/>
          <w:highlight w:val="none"/>
        </w:rPr>
        <w:t>无收支及结转结余情况，故国有资本经营预算财政拨款支出决算表</w:t>
      </w:r>
      <w:r>
        <w:rPr>
          <w:rFonts w:hint="eastAsia" w:ascii="仿宋" w:hAnsi="仿宋" w:eastAsia="仿宋" w:cs="仿宋"/>
          <w:sz w:val="32"/>
          <w:szCs w:val="32"/>
          <w:highlight w:val="none"/>
          <w:lang w:eastAsia="zh-CN"/>
        </w:rPr>
        <w:t>、国有资本经营预算财政拨款支出决算表</w:t>
      </w:r>
      <w:r>
        <w:rPr>
          <w:rFonts w:hint="eastAsia" w:ascii="仿宋" w:hAnsi="仿宋" w:eastAsia="仿宋" w:cs="仿宋"/>
          <w:sz w:val="32"/>
          <w:szCs w:val="32"/>
          <w:highlight w:val="none"/>
          <w:lang w:val="en-US" w:eastAsia="zh-CN"/>
        </w:rPr>
        <w:t>决算</w:t>
      </w:r>
      <w:r>
        <w:rPr>
          <w:rFonts w:hint="eastAsia" w:ascii="仿宋" w:hAnsi="仿宋" w:eastAsia="仿宋" w:cs="仿宋"/>
          <w:sz w:val="32"/>
          <w:szCs w:val="32"/>
          <w:highlight w:val="none"/>
        </w:rPr>
        <w:t>表以空表列示。</w:t>
      </w:r>
    </w:p>
    <w:p>
      <w:pPr>
        <w:adjustRightInd w:val="0"/>
        <w:snapToGrid w:val="0"/>
        <w:spacing w:line="58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 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hint="eastAsia" w:ascii="仿宋" w:hAnsi="仿宋" w:eastAsia="仿宋" w:cs="仿宋"/>
          <w:b/>
          <w:bCs/>
          <w:kern w:val="0"/>
          <w:sz w:val="44"/>
          <w:szCs w:val="44"/>
          <w:highlight w:val="none"/>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color w:val="000000" w:themeColor="text1"/>
          <w:sz w:val="96"/>
          <w:szCs w:val="96"/>
          <w:highlight w:val="none"/>
          <w14:textFill>
            <w14:solidFill>
              <w14:schemeClr w14:val="tx1"/>
            </w14:solidFill>
          </w14:textFill>
        </w:rPr>
        <w:t>第三部分</w:t>
      </w:r>
    </w:p>
    <w:p>
      <w:pPr>
        <w:widowControl/>
        <w:spacing w:line="1200" w:lineRule="exact"/>
        <w:jc w:val="center"/>
        <w:rPr>
          <w:rFonts w:hint="eastAsia" w:ascii="仿宋" w:hAnsi="仿宋" w:eastAsia="仿宋" w:cs="仿宋"/>
          <w:color w:val="000000" w:themeColor="text1"/>
          <w:sz w:val="96"/>
          <w:szCs w:val="96"/>
          <w:highlight w:val="none"/>
          <w14:textFill>
            <w14:solidFill>
              <w14:schemeClr w14:val="tx1"/>
            </w14:solidFill>
          </w14:textFill>
        </w:rPr>
      </w:pPr>
      <w:r>
        <w:rPr>
          <w:rFonts w:hint="eastAsia" w:ascii="仿宋" w:hAnsi="仿宋" w:eastAsia="仿宋" w:cs="仿宋"/>
          <w:color w:val="000000" w:themeColor="text1"/>
          <w:sz w:val="96"/>
          <w:szCs w:val="96"/>
          <w:highlight w:val="none"/>
          <w14:textFill>
            <w14:solidFill>
              <w14:schemeClr w14:val="tx1"/>
            </w14:solidFill>
          </w14:textFill>
        </w:rPr>
        <w:t>相关名词解释</w:t>
      </w:r>
    </w:p>
    <w:p>
      <w:pPr>
        <w:rPr>
          <w:rFonts w:hint="eastAsia" w:ascii="仿宋" w:hAnsi="仿宋" w:eastAsia="仿宋" w:cs="仿宋"/>
          <w:color w:val="000000"/>
          <w:kern w:val="0"/>
          <w:highlight w:val="none"/>
        </w:rPr>
        <w:sectPr>
          <w:pgSz w:w="11906" w:h="16838"/>
          <w:pgMar w:top="2098" w:right="1474" w:bottom="1984" w:left="1588" w:header="851" w:footer="992" w:gutter="0"/>
          <w:cols w:space="0" w:num="1"/>
          <w:docGrid w:type="lines" w:linePitch="312" w:charSpace="0"/>
        </w:sectPr>
      </w:pP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（一）财政拨款收入：</w:t>
      </w:r>
      <w:r>
        <w:rPr>
          <w:rFonts w:hint="eastAsia" w:ascii="仿宋" w:hAnsi="仿宋" w:eastAsia="仿宋" w:cs="仿宋"/>
          <w:color w:val="000000"/>
          <w:kern w:val="0"/>
          <w:sz w:val="32"/>
          <w:szCs w:val="32"/>
          <w:highlight w:val="none"/>
        </w:rPr>
        <w:t>本年度从本级财政部门取得的财政拨款，包括一般公共预算财政拨款和政府性基金预算财政拨款。</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（二）事业收入：</w:t>
      </w:r>
      <w:r>
        <w:rPr>
          <w:rFonts w:hint="eastAsia" w:ascii="仿宋" w:hAnsi="仿宋" w:eastAsia="仿宋" w:cs="仿宋"/>
          <w:color w:val="000000"/>
          <w:kern w:val="0"/>
          <w:sz w:val="32"/>
          <w:szCs w:val="32"/>
          <w:highlight w:val="none"/>
        </w:rPr>
        <w:t>指事业单位开展专业业务活动及辅助活动所取得的收入。</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（三）其他收入：</w:t>
      </w:r>
      <w:r>
        <w:rPr>
          <w:rFonts w:hint="eastAsia" w:ascii="仿宋" w:hAnsi="仿宋" w:eastAsia="仿宋" w:cs="仿宋"/>
          <w:color w:val="000000"/>
          <w:kern w:val="0"/>
          <w:sz w:val="32"/>
          <w:szCs w:val="32"/>
          <w:highlight w:val="none"/>
        </w:rPr>
        <w:t>指除上述“财政拨款收入”“事业收入”“经营收入”等以外的收入。</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（四）用事业基金弥补收支差额：</w:t>
      </w:r>
      <w:r>
        <w:rPr>
          <w:rFonts w:hint="eastAsia" w:ascii="仿宋" w:hAnsi="仿宋" w:eastAsia="仿宋" w:cs="仿宋"/>
          <w:color w:val="000000"/>
          <w:kern w:val="0"/>
          <w:sz w:val="32"/>
          <w:szCs w:val="32"/>
          <w:highlight w:val="none"/>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（五）年初结转和结余：</w:t>
      </w:r>
      <w:r>
        <w:rPr>
          <w:rFonts w:hint="eastAsia" w:ascii="仿宋" w:hAnsi="仿宋" w:eastAsia="仿宋" w:cs="仿宋"/>
          <w:color w:val="000000"/>
          <w:kern w:val="0"/>
          <w:sz w:val="32"/>
          <w:szCs w:val="32"/>
          <w:highlight w:val="none"/>
        </w:rPr>
        <w:t>指以前年度尚未完成、结转到本年仍按原规定用途继续使用的资金，或项目已完成等产生的结余资金。</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（六）结余分配：</w:t>
      </w:r>
      <w:r>
        <w:rPr>
          <w:rFonts w:hint="eastAsia" w:ascii="仿宋" w:hAnsi="仿宋" w:eastAsia="仿宋" w:cs="仿宋"/>
          <w:color w:val="000000"/>
          <w:kern w:val="0"/>
          <w:sz w:val="32"/>
          <w:szCs w:val="32"/>
          <w:highlight w:val="none"/>
        </w:rPr>
        <w:t>指事业单位按照事业单位会计制度的规定从非财政补助结余中分配的事业基金和职工福利基金等。</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（七）年末结转和结余：</w:t>
      </w:r>
      <w:r>
        <w:rPr>
          <w:rFonts w:hint="eastAsia" w:ascii="仿宋" w:hAnsi="仿宋" w:eastAsia="仿宋" w:cs="仿宋"/>
          <w:color w:val="000000"/>
          <w:kern w:val="0"/>
          <w:sz w:val="32"/>
          <w:szCs w:val="32"/>
          <w:highlight w:val="none"/>
        </w:rPr>
        <w:t>指单位按有关规定结转到下年或以后年度继续使用的资金，或项目已完成等产生的结余资金。</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（八）基本支出：</w:t>
      </w:r>
      <w:r>
        <w:rPr>
          <w:rFonts w:hint="eastAsia" w:ascii="仿宋" w:hAnsi="仿宋" w:eastAsia="仿宋" w:cs="仿宋"/>
          <w:color w:val="000000"/>
          <w:kern w:val="0"/>
          <w:sz w:val="32"/>
          <w:szCs w:val="32"/>
          <w:highlight w:val="none"/>
        </w:rPr>
        <w:t>填列单位为保障机构正常运转、完成日常工作任务而发生的各项支出。</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（九）项目支出：</w:t>
      </w:r>
      <w:r>
        <w:rPr>
          <w:rFonts w:hint="eastAsia" w:ascii="仿宋" w:hAnsi="仿宋" w:eastAsia="仿宋" w:cs="仿宋"/>
          <w:color w:val="000000"/>
          <w:kern w:val="0"/>
          <w:sz w:val="32"/>
          <w:szCs w:val="32"/>
          <w:highlight w:val="none"/>
        </w:rPr>
        <w:t>填列单位为完成特定的行政工作任务或事业发展目标，在基本支出之外发生的各项支出</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（十）基本建设支出：</w:t>
      </w:r>
      <w:r>
        <w:rPr>
          <w:rFonts w:hint="eastAsia" w:ascii="仿宋" w:hAnsi="仿宋" w:eastAsia="仿宋" w:cs="仿宋"/>
          <w:color w:val="000000"/>
          <w:kern w:val="0"/>
          <w:sz w:val="32"/>
          <w:szCs w:val="32"/>
          <w:highlight w:val="none"/>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（十一）其他资本性支出：</w:t>
      </w:r>
      <w:r>
        <w:rPr>
          <w:rFonts w:hint="eastAsia" w:ascii="仿宋" w:hAnsi="仿宋" w:eastAsia="仿宋" w:cs="仿宋"/>
          <w:color w:val="000000"/>
          <w:kern w:val="0"/>
          <w:sz w:val="32"/>
          <w:szCs w:val="32"/>
          <w:highlight w:val="none"/>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（十二）“三公”经费：</w:t>
      </w:r>
      <w:r>
        <w:rPr>
          <w:rFonts w:hint="eastAsia" w:ascii="仿宋" w:hAnsi="仿宋" w:eastAsia="仿宋" w:cs="仿宋"/>
          <w:color w:val="000000"/>
          <w:kern w:val="0"/>
          <w:sz w:val="32"/>
          <w:szCs w:val="32"/>
          <w:highlight w:val="none"/>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（十三）其他交通费用：</w:t>
      </w:r>
      <w:r>
        <w:rPr>
          <w:rFonts w:hint="eastAsia" w:ascii="仿宋" w:hAnsi="仿宋" w:eastAsia="仿宋" w:cs="仿宋"/>
          <w:color w:val="000000"/>
          <w:kern w:val="0"/>
          <w:sz w:val="32"/>
          <w:szCs w:val="32"/>
          <w:highlight w:val="none"/>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（十四）公务用车购置：</w:t>
      </w:r>
      <w:r>
        <w:rPr>
          <w:rFonts w:hint="eastAsia" w:ascii="仿宋" w:hAnsi="仿宋" w:eastAsia="仿宋" w:cs="仿宋"/>
          <w:color w:val="000000"/>
          <w:kern w:val="0"/>
          <w:sz w:val="32"/>
          <w:szCs w:val="32"/>
          <w:highlight w:val="none"/>
        </w:rPr>
        <w:t>填列单位公务用车车辆购置支出（含车辆购置税、牌照费）。</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（十五）其他交通工具购置：</w:t>
      </w:r>
      <w:r>
        <w:rPr>
          <w:rFonts w:hint="eastAsia" w:ascii="仿宋" w:hAnsi="仿宋" w:eastAsia="仿宋" w:cs="仿宋"/>
          <w:color w:val="000000"/>
          <w:kern w:val="0"/>
          <w:sz w:val="32"/>
          <w:szCs w:val="32"/>
          <w:highlight w:val="none"/>
        </w:rPr>
        <w:t>填列单位除公务用车外的其他各类交通工具（如船舶、飞机等）购置支出（含车辆购置税、牌照费）。</w:t>
      </w:r>
    </w:p>
    <w:p>
      <w:pPr>
        <w:widowControl/>
        <w:spacing w:line="560" w:lineRule="exact"/>
        <w:ind w:firstLine="643" w:firstLineChars="200"/>
        <w:rPr>
          <w:rFonts w:hint="eastAsia" w:ascii="仿宋" w:hAnsi="仿宋" w:eastAsia="仿宋" w:cs="仿宋"/>
          <w:color w:val="000000"/>
          <w:kern w:val="0"/>
          <w:sz w:val="32"/>
          <w:szCs w:val="32"/>
          <w:highlight w:val="none"/>
        </w:rPr>
      </w:pPr>
      <w:r>
        <w:rPr>
          <w:rFonts w:hint="eastAsia" w:ascii="仿宋" w:hAnsi="仿宋" w:eastAsia="仿宋" w:cs="仿宋"/>
          <w:b/>
          <w:bCs/>
          <w:color w:val="000000"/>
          <w:kern w:val="0"/>
          <w:sz w:val="32"/>
          <w:szCs w:val="32"/>
          <w:highlight w:val="none"/>
        </w:rPr>
        <w:t>（十六）机关运行经费：</w:t>
      </w:r>
      <w:r>
        <w:rPr>
          <w:rFonts w:hint="eastAsia" w:ascii="仿宋" w:hAnsi="仿宋" w:eastAsia="仿宋" w:cs="仿宋"/>
          <w:color w:val="000000"/>
          <w:kern w:val="0"/>
          <w:sz w:val="32"/>
          <w:szCs w:val="32"/>
          <w:highlight w:val="none"/>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hint="eastAsia" w:ascii="仿宋" w:hAnsi="仿宋" w:eastAsia="仿宋" w:cs="仿宋"/>
          <w:kern w:val="0"/>
          <w:sz w:val="32"/>
          <w:szCs w:val="32"/>
          <w:highlight w:val="none"/>
        </w:rPr>
      </w:pPr>
      <w:r>
        <w:rPr>
          <w:rFonts w:hint="eastAsia" w:ascii="仿宋" w:hAnsi="仿宋" w:eastAsia="仿宋" w:cs="仿宋"/>
          <w:b/>
          <w:bCs/>
          <w:color w:val="000000"/>
          <w:kern w:val="0"/>
          <w:sz w:val="32"/>
          <w:szCs w:val="32"/>
          <w:highlight w:val="none"/>
        </w:rPr>
        <w:t>（十七）经费形式:</w:t>
      </w:r>
      <w:r>
        <w:rPr>
          <w:rFonts w:hint="eastAsia" w:ascii="仿宋" w:hAnsi="仿宋" w:eastAsia="仿宋" w:cs="仿宋"/>
          <w:color w:val="000000"/>
          <w:kern w:val="0"/>
          <w:sz w:val="32"/>
          <w:szCs w:val="32"/>
          <w:highlight w:val="none"/>
        </w:rPr>
        <w:t>按照经费来源，</w:t>
      </w:r>
      <w:r>
        <w:rPr>
          <w:rFonts w:hint="eastAsia" w:ascii="仿宋" w:hAnsi="仿宋" w:eastAsia="仿宋" w:cs="仿宋"/>
          <w:kern w:val="0"/>
          <w:sz w:val="32"/>
          <w:szCs w:val="32"/>
          <w:highlight w:val="none"/>
        </w:rPr>
        <w:t>可分为财政拨款、财政性资金基本保证、财政性资金定额或定项补助、财政性资金零补助四类。</w:t>
      </w: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after="0" w:line="560" w:lineRule="exact"/>
        <w:ind w:firstLine="640" w:firstLineChars="200"/>
        <w:rPr>
          <w:rFonts w:hint="eastAsia" w:ascii="仿宋" w:hAnsi="仿宋" w:eastAsia="仿宋" w:cs="仿宋"/>
          <w:kern w:val="0"/>
          <w:sz w:val="32"/>
          <w:szCs w:val="32"/>
          <w:highlight w:val="none"/>
        </w:rPr>
      </w:pPr>
    </w:p>
    <w:p>
      <w:pPr>
        <w:widowControl/>
        <w:spacing w:line="1200" w:lineRule="exact"/>
        <w:rPr>
          <w:rFonts w:hint="eastAsia" w:ascii="仿宋" w:hAnsi="仿宋" w:eastAsia="仿宋" w:cs="仿宋"/>
          <w:color w:val="000000" w:themeColor="text1"/>
          <w:sz w:val="72"/>
          <w:szCs w:val="96"/>
          <w:highlight w:val="none"/>
          <w14:textFill>
            <w14:solidFill>
              <w14:schemeClr w14:val="tx1"/>
            </w14:solidFill>
          </w14:textFill>
        </w:rPr>
      </w:pPr>
    </w:p>
    <w:p>
      <w:pPr>
        <w:widowControl/>
        <w:spacing w:line="1200" w:lineRule="exact"/>
        <w:jc w:val="center"/>
        <w:rPr>
          <w:rFonts w:hint="eastAsia" w:ascii="仿宋" w:hAnsi="仿宋" w:eastAsia="仿宋" w:cs="仿宋"/>
          <w:color w:val="000000" w:themeColor="text1"/>
          <w:sz w:val="72"/>
          <w:szCs w:val="96"/>
          <w:highlight w:val="none"/>
          <w14:textFill>
            <w14:solidFill>
              <w14:schemeClr w14:val="tx1"/>
            </w14:solidFill>
          </w14:textFill>
        </w:rPr>
      </w:pPr>
      <w:r>
        <w:rPr>
          <w:rFonts w:hint="eastAsia" w:ascii="仿宋" w:hAnsi="仿宋" w:eastAsia="仿宋" w:cs="仿宋"/>
          <w:color w:val="000000" w:themeColor="text1"/>
          <w:sz w:val="72"/>
          <w:szCs w:val="96"/>
          <w:highlight w:val="none"/>
          <w14:textFill>
            <w14:solidFill>
              <w14:schemeClr w14:val="tx1"/>
            </w14:solidFill>
          </w14:textFill>
        </w:rPr>
        <w:t>第四部分</w:t>
      </w:r>
    </w:p>
    <w:p>
      <w:pPr>
        <w:widowControl/>
        <w:spacing w:line="1200" w:lineRule="exact"/>
        <w:jc w:val="center"/>
        <w:rPr>
          <w:rFonts w:hint="eastAsia" w:ascii="仿宋" w:hAnsi="仿宋" w:eastAsia="仿宋" w:cs="仿宋"/>
          <w:color w:val="000000" w:themeColor="text1"/>
          <w:sz w:val="72"/>
          <w:szCs w:val="96"/>
          <w:highlight w:val="none"/>
          <w14:textFill>
            <w14:solidFill>
              <w14:schemeClr w14:val="tx1"/>
            </w14:solidFill>
          </w14:textFill>
        </w:rPr>
      </w:pPr>
      <w:r>
        <w:rPr>
          <w:rFonts w:hint="eastAsia" w:ascii="仿宋" w:hAnsi="仿宋" w:eastAsia="仿宋" w:cs="仿宋"/>
          <w:color w:val="000000" w:themeColor="text1"/>
          <w:sz w:val="72"/>
          <w:szCs w:val="96"/>
          <w:highlight w:val="none"/>
          <w14:textFill>
            <w14:solidFill>
              <w14:schemeClr w14:val="tx1"/>
            </w14:solidFill>
          </w14:textFill>
        </w:rPr>
        <w:t>2019年度部门决算报表</w:t>
      </w:r>
    </w:p>
    <w:p>
      <w:pPr>
        <w:widowControl/>
        <w:spacing w:line="560" w:lineRule="exact"/>
        <w:jc w:val="center"/>
        <w:rPr>
          <w:rFonts w:hint="eastAsia" w:ascii="仿宋" w:hAnsi="仿宋" w:eastAsia="仿宋" w:cs="仿宋"/>
          <w:bCs/>
          <w:kern w:val="0"/>
          <w:sz w:val="52"/>
          <w:szCs w:val="52"/>
          <w:highlight w:val="none"/>
        </w:rPr>
      </w:pPr>
    </w:p>
    <w:p>
      <w:pPr>
        <w:widowControl/>
        <w:spacing w:line="560" w:lineRule="exact"/>
        <w:jc w:val="center"/>
        <w:rPr>
          <w:rFonts w:hint="eastAsia" w:ascii="仿宋" w:hAnsi="仿宋" w:eastAsia="仿宋" w:cs="仿宋"/>
          <w:bCs/>
          <w:kern w:val="0"/>
          <w:sz w:val="52"/>
          <w:szCs w:val="52"/>
          <w:highlight w:val="none"/>
        </w:rPr>
      </w:pPr>
    </w:p>
    <w:p>
      <w:pPr>
        <w:rPr>
          <w:rFonts w:hint="eastAsia" w:ascii="仿宋" w:hAnsi="仿宋" w:eastAsia="仿宋" w:cs="仿宋"/>
          <w:color w:val="000000"/>
          <w:kern w:val="0"/>
          <w:highlight w:val="none"/>
        </w:rPr>
      </w:pPr>
    </w:p>
    <w:p>
      <w:pPr>
        <w:rPr>
          <w:rFonts w:hint="eastAsia" w:ascii="仿宋" w:hAnsi="仿宋" w:eastAsia="仿宋" w:cs="仿宋"/>
          <w:color w:val="000000"/>
          <w:kern w:val="0"/>
          <w:highlight w:val="none"/>
        </w:rPr>
      </w:pPr>
    </w:p>
    <w:p>
      <w:pPr>
        <w:rPr>
          <w:rFonts w:hint="eastAsia" w:ascii="仿宋" w:hAnsi="仿宋" w:eastAsia="仿宋" w:cs="仿宋"/>
          <w:color w:val="000000"/>
          <w:kern w:val="0"/>
          <w:highlight w:val="none"/>
        </w:rPr>
      </w:pPr>
    </w:p>
    <w:p>
      <w:pPr>
        <w:rPr>
          <w:rFonts w:hint="eastAsia" w:ascii="仿宋" w:hAnsi="仿宋" w:eastAsia="仿宋" w:cs="仿宋"/>
          <w:color w:val="000000"/>
          <w:kern w:val="0"/>
          <w:highlight w:val="none"/>
        </w:rPr>
      </w:pPr>
    </w:p>
    <w:p>
      <w:pPr>
        <w:widowControl/>
        <w:spacing w:after="0" w:line="240" w:lineRule="auto"/>
        <w:jc w:val="left"/>
        <w:rPr>
          <w:rFonts w:hint="eastAsia" w:ascii="仿宋" w:hAnsi="仿宋" w:eastAsia="仿宋" w:cs="仿宋"/>
          <w:color w:val="000000"/>
          <w:kern w:val="0"/>
          <w:highlight w:val="none"/>
        </w:rPr>
      </w:pPr>
    </w:p>
    <w:tbl>
      <w:tblPr>
        <w:tblStyle w:val="13"/>
        <w:tblW w:w="14120" w:type="dxa"/>
        <w:tblInd w:w="93" w:type="dxa"/>
        <w:tblLayout w:type="autofit"/>
        <w:tblCellMar>
          <w:top w:w="0" w:type="dxa"/>
          <w:left w:w="108" w:type="dxa"/>
          <w:bottom w:w="0" w:type="dxa"/>
          <w:right w:w="108" w:type="dxa"/>
        </w:tblCellMar>
      </w:tblPr>
      <w:tblGrid>
        <w:gridCol w:w="4220"/>
        <w:gridCol w:w="580"/>
        <w:gridCol w:w="2260"/>
        <w:gridCol w:w="4220"/>
        <w:gridCol w:w="580"/>
        <w:gridCol w:w="2260"/>
      </w:tblGrid>
      <w:tr>
        <w:tblPrEx>
          <w:tblCellMar>
            <w:top w:w="0" w:type="dxa"/>
            <w:left w:w="108" w:type="dxa"/>
            <w:bottom w:w="0" w:type="dxa"/>
            <w:right w:w="108" w:type="dxa"/>
          </w:tblCellMar>
        </w:tblPrEx>
        <w:trPr>
          <w:trHeight w:val="390" w:hRule="atLeast"/>
        </w:trPr>
        <w:tc>
          <w:tcPr>
            <w:tcW w:w="4220" w:type="dxa"/>
            <w:tcBorders>
              <w:top w:val="nil"/>
              <w:left w:val="nil"/>
              <w:bottom w:val="nil"/>
              <w:right w:val="nil"/>
            </w:tcBorders>
            <w:shd w:val="clear" w:color="auto" w:fill="auto"/>
            <w:noWrap/>
            <w:vAlign w:val="bottom"/>
          </w:tcPr>
          <w:p>
            <w:pPr>
              <w:widowControl/>
              <w:spacing w:after="0" w:line="240" w:lineRule="auto"/>
              <w:jc w:val="left"/>
              <w:rPr>
                <w:rFonts w:hint="eastAsia" w:ascii="仿宋" w:hAnsi="仿宋" w:eastAsia="仿宋" w:cs="仿宋"/>
                <w:color w:val="000000"/>
                <w:kern w:val="0"/>
                <w:sz w:val="20"/>
                <w:szCs w:val="20"/>
                <w:highlight w:val="none"/>
              </w:rPr>
            </w:pPr>
          </w:p>
        </w:tc>
        <w:tc>
          <w:tcPr>
            <w:tcW w:w="580" w:type="dxa"/>
            <w:tcBorders>
              <w:top w:val="nil"/>
              <w:left w:val="nil"/>
              <w:bottom w:val="nil"/>
              <w:right w:val="nil"/>
            </w:tcBorders>
            <w:shd w:val="clear" w:color="auto" w:fill="auto"/>
            <w:noWrap/>
            <w:vAlign w:val="bottom"/>
          </w:tcPr>
          <w:p>
            <w:pPr>
              <w:widowControl/>
              <w:spacing w:after="0" w:line="240" w:lineRule="auto"/>
              <w:jc w:val="left"/>
              <w:rPr>
                <w:rFonts w:hint="eastAsia" w:ascii="仿宋" w:hAnsi="仿宋" w:eastAsia="仿宋" w:cs="仿宋"/>
                <w:color w:val="000000"/>
                <w:kern w:val="0"/>
                <w:sz w:val="20"/>
                <w:szCs w:val="20"/>
                <w:highlight w:val="none"/>
              </w:rPr>
            </w:pPr>
          </w:p>
        </w:tc>
        <w:tc>
          <w:tcPr>
            <w:tcW w:w="2260" w:type="dxa"/>
            <w:tcBorders>
              <w:top w:val="nil"/>
              <w:left w:val="nil"/>
              <w:bottom w:val="nil"/>
              <w:right w:val="nil"/>
            </w:tcBorders>
            <w:shd w:val="clear" w:color="auto" w:fill="auto"/>
            <w:noWrap/>
            <w:vAlign w:val="bottom"/>
          </w:tcPr>
          <w:p>
            <w:pPr>
              <w:widowControl/>
              <w:spacing w:after="0" w:line="240" w:lineRule="auto"/>
              <w:rPr>
                <w:rFonts w:hint="eastAsia" w:ascii="仿宋" w:hAnsi="仿宋" w:eastAsia="仿宋" w:cs="仿宋"/>
                <w:color w:val="000000"/>
                <w:kern w:val="0"/>
                <w:sz w:val="30"/>
                <w:szCs w:val="30"/>
                <w:highlight w:val="none"/>
              </w:rPr>
            </w:pPr>
          </w:p>
        </w:tc>
        <w:tc>
          <w:tcPr>
            <w:tcW w:w="4220" w:type="dxa"/>
            <w:tcBorders>
              <w:top w:val="nil"/>
              <w:left w:val="nil"/>
              <w:bottom w:val="nil"/>
              <w:right w:val="nil"/>
            </w:tcBorders>
            <w:shd w:val="clear" w:color="auto" w:fill="auto"/>
            <w:noWrap/>
            <w:vAlign w:val="bottom"/>
          </w:tcPr>
          <w:p>
            <w:pPr>
              <w:widowControl/>
              <w:spacing w:after="0" w:line="240" w:lineRule="auto"/>
              <w:jc w:val="left"/>
              <w:rPr>
                <w:rFonts w:hint="eastAsia" w:ascii="仿宋" w:hAnsi="仿宋" w:eastAsia="仿宋" w:cs="仿宋"/>
                <w:color w:val="000000"/>
                <w:kern w:val="0"/>
                <w:sz w:val="20"/>
                <w:szCs w:val="20"/>
                <w:highlight w:val="none"/>
              </w:rPr>
            </w:pPr>
          </w:p>
        </w:tc>
        <w:tc>
          <w:tcPr>
            <w:tcW w:w="580" w:type="dxa"/>
            <w:tcBorders>
              <w:top w:val="nil"/>
              <w:left w:val="nil"/>
              <w:bottom w:val="nil"/>
              <w:right w:val="nil"/>
            </w:tcBorders>
            <w:shd w:val="clear" w:color="auto" w:fill="auto"/>
            <w:noWrap/>
            <w:vAlign w:val="bottom"/>
          </w:tcPr>
          <w:p>
            <w:pPr>
              <w:widowControl/>
              <w:spacing w:after="0" w:line="240" w:lineRule="auto"/>
              <w:jc w:val="left"/>
              <w:rPr>
                <w:rFonts w:hint="eastAsia" w:ascii="仿宋" w:hAnsi="仿宋" w:eastAsia="仿宋" w:cs="仿宋"/>
                <w:color w:val="000000"/>
                <w:kern w:val="0"/>
                <w:sz w:val="20"/>
                <w:szCs w:val="20"/>
                <w:highlight w:val="none"/>
              </w:rPr>
            </w:pPr>
          </w:p>
        </w:tc>
        <w:tc>
          <w:tcPr>
            <w:tcW w:w="2260" w:type="dxa"/>
            <w:tcBorders>
              <w:top w:val="nil"/>
              <w:left w:val="nil"/>
              <w:bottom w:val="nil"/>
              <w:right w:val="nil"/>
            </w:tcBorders>
            <w:shd w:val="clear" w:color="auto" w:fill="auto"/>
            <w:noWrap/>
            <w:vAlign w:val="bottom"/>
          </w:tcPr>
          <w:p>
            <w:pPr>
              <w:widowControl/>
              <w:spacing w:after="0" w:line="240" w:lineRule="auto"/>
              <w:jc w:val="left"/>
              <w:rPr>
                <w:rFonts w:hint="eastAsia" w:ascii="仿宋" w:hAnsi="仿宋" w:eastAsia="仿宋" w:cs="仿宋"/>
                <w:color w:val="000000"/>
                <w:kern w:val="0"/>
                <w:sz w:val="20"/>
                <w:szCs w:val="20"/>
                <w:highlight w:val="none"/>
              </w:rPr>
            </w:pP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收入支出决算总表</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公开01表</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5000" w:type="pct"/>
        <w:tblInd w:w="0" w:type="dxa"/>
        <w:shd w:val="clear" w:color="auto" w:fill="auto"/>
        <w:tblLayout w:type="autofit"/>
        <w:tblCellMar>
          <w:top w:w="0" w:type="dxa"/>
          <w:left w:w="0" w:type="dxa"/>
          <w:bottom w:w="0" w:type="dxa"/>
          <w:right w:w="0" w:type="dxa"/>
        </w:tblCellMar>
      </w:tblPr>
      <w:tblGrid>
        <w:gridCol w:w="3140"/>
        <w:gridCol w:w="439"/>
        <w:gridCol w:w="855"/>
        <w:gridCol w:w="3140"/>
        <w:gridCol w:w="439"/>
        <w:gridCol w:w="855"/>
      </w:tblGrid>
      <w:tr>
        <w:tblPrEx>
          <w:shd w:val="clear" w:color="auto" w:fill="auto"/>
          <w:tblCellMar>
            <w:top w:w="0" w:type="dxa"/>
            <w:left w:w="0" w:type="dxa"/>
            <w:bottom w:w="0" w:type="dxa"/>
            <w:right w:w="0" w:type="dxa"/>
          </w:tblCellMar>
        </w:tblPrEx>
        <w:trPr>
          <w:trHeight w:val="308" w:hRule="atLeast"/>
        </w:trPr>
        <w:tc>
          <w:tcPr>
            <w:tcW w:w="2500"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收入</w:t>
            </w:r>
          </w:p>
        </w:tc>
        <w:tc>
          <w:tcPr>
            <w:tcW w:w="2500" w:type="pct"/>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支出</w:t>
            </w: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行次</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金额</w:t>
            </w: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行次</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金额</w:t>
            </w: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一、一般公共预算财政拨款收入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1,021.47</w:t>
            </w: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一、一般公共服务支出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29</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二、政府性基金预算财政拨款收入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二、外交支出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三、上级补助收入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三、国防支出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四、事业收入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四、公共安全支出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五、经营收入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五、教育支出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六、附属单位上缴收入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六、科学技术支出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七、其他收入</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七、文化旅游体育与传媒支出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八、社会保障和就业支出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36</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九、卫生健康支出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十、节能环保支出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38</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十一、城乡社区支出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十二、农林水支出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40</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十三、交通运输支出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41</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14</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十四、资源勘探信息等支出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42</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15</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十五、商业服务业等支出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43</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16</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十六、金融支出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44</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17</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十七、援助其他地区支出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45</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18</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十八、自然资源海洋气象等支出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46</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19</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十九、住房保障支出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47</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二十、粮油物资储备支出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48</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二十一、灾害防治及应急管理支出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49</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二十二、其他支出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50</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23</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二十四、债务付息支出</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51</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本年收入合计</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24</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1,021.47</w:t>
            </w: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本年支出合计</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52</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用事业基金弥补收支差额</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结余分配</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53</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年初结转和结余</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26</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4.23</w:t>
            </w: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年末结转和结余</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54</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27</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55</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70"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总计</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28</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17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总计</w:t>
            </w:r>
          </w:p>
        </w:tc>
        <w:tc>
          <w:tcPr>
            <w:tcW w:w="247"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56</w:t>
            </w:r>
          </w:p>
        </w:tc>
        <w:tc>
          <w:tcPr>
            <w:tcW w:w="48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r>
      <w:tr>
        <w:tblPrEx>
          <w:tblCellMar>
            <w:top w:w="0" w:type="dxa"/>
            <w:left w:w="0" w:type="dxa"/>
            <w:bottom w:w="0" w:type="dxa"/>
            <w:right w:w="0" w:type="dxa"/>
          </w:tblCellMar>
        </w:tblPrEx>
        <w:trPr>
          <w:trHeight w:val="308" w:hRule="atLeast"/>
        </w:trPr>
        <w:tc>
          <w:tcPr>
            <w:tcW w:w="5000" w:type="pct"/>
            <w:gridSpan w:val="6"/>
            <w:tcBorders>
              <w:top w:val="nil"/>
              <w:left w:val="nil"/>
              <w:bottom w:val="nil"/>
              <w:right w:val="nil"/>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注：本表反映部门本年度的总收支和年末结转结余情况。</w:t>
            </w: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sectPr>
          <w:pgSz w:w="11906" w:h="16838"/>
          <w:pgMar w:top="2098" w:right="1474" w:bottom="1984" w:left="1588" w:header="851" w:footer="992" w:gutter="0"/>
          <w:cols w:space="0" w:num="1"/>
          <w:docGrid w:type="lines" w:linePitch="312" w:charSpace="0"/>
        </w:sectPr>
      </w:pP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收入决算表</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公开02表</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4998" w:type="pct"/>
        <w:tblInd w:w="0" w:type="dxa"/>
        <w:shd w:val="clear" w:color="auto" w:fill="auto"/>
        <w:tblLayout w:type="autofit"/>
        <w:tblCellMar>
          <w:top w:w="0" w:type="dxa"/>
          <w:left w:w="0" w:type="dxa"/>
          <w:bottom w:w="0" w:type="dxa"/>
          <w:right w:w="0" w:type="dxa"/>
        </w:tblCellMar>
      </w:tblPr>
      <w:tblGrid>
        <w:gridCol w:w="760"/>
        <w:gridCol w:w="3597"/>
        <w:gridCol w:w="1202"/>
        <w:gridCol w:w="1202"/>
        <w:gridCol w:w="1202"/>
        <w:gridCol w:w="1202"/>
        <w:gridCol w:w="1202"/>
        <w:gridCol w:w="1202"/>
        <w:gridCol w:w="1206"/>
      </w:tblGrid>
      <w:tr>
        <w:tblPrEx>
          <w:tblCellMar>
            <w:top w:w="0" w:type="dxa"/>
            <w:left w:w="0" w:type="dxa"/>
            <w:bottom w:w="0" w:type="dxa"/>
            <w:right w:w="0" w:type="dxa"/>
          </w:tblCellMar>
        </w:tblPrEx>
        <w:trPr>
          <w:trHeight w:val="308" w:hRule="atLeast"/>
        </w:trPr>
        <w:tc>
          <w:tcPr>
            <w:tcW w:w="17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47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本年收入合计</w:t>
            </w:r>
          </w:p>
        </w:tc>
        <w:tc>
          <w:tcPr>
            <w:tcW w:w="47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财政拨款收入</w:t>
            </w:r>
          </w:p>
        </w:tc>
        <w:tc>
          <w:tcPr>
            <w:tcW w:w="47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上级补助收入</w:t>
            </w:r>
          </w:p>
        </w:tc>
        <w:tc>
          <w:tcPr>
            <w:tcW w:w="47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事业收入</w:t>
            </w:r>
          </w:p>
        </w:tc>
        <w:tc>
          <w:tcPr>
            <w:tcW w:w="47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经营收入</w:t>
            </w:r>
          </w:p>
        </w:tc>
        <w:tc>
          <w:tcPr>
            <w:tcW w:w="470"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附属单位上缴收入</w:t>
            </w:r>
          </w:p>
        </w:tc>
        <w:tc>
          <w:tcPr>
            <w:tcW w:w="471"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其他收入</w:t>
            </w:r>
          </w:p>
        </w:tc>
      </w:tr>
      <w:tr>
        <w:tblPrEx>
          <w:shd w:val="clear" w:color="auto" w:fill="auto"/>
          <w:tblCellMar>
            <w:top w:w="0" w:type="dxa"/>
            <w:left w:w="0" w:type="dxa"/>
            <w:bottom w:w="0" w:type="dxa"/>
            <w:right w:w="0" w:type="dxa"/>
          </w:tblCellMar>
        </w:tblPrEx>
        <w:trPr>
          <w:trHeight w:val="308" w:hRule="atLeast"/>
        </w:trPr>
        <w:tc>
          <w:tcPr>
            <w:tcW w:w="297"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功能分类科目编码</w:t>
            </w:r>
          </w:p>
        </w:tc>
        <w:tc>
          <w:tcPr>
            <w:tcW w:w="1406"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406"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406"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703"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47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47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47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47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47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470"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c>
          <w:tcPr>
            <w:tcW w:w="471"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p>
        </w:tc>
      </w:tr>
      <w:tr>
        <w:tblPrEx>
          <w:shd w:val="clear" w:color="auto" w:fill="auto"/>
          <w:tblCellMar>
            <w:top w:w="0" w:type="dxa"/>
            <w:left w:w="0" w:type="dxa"/>
            <w:bottom w:w="0" w:type="dxa"/>
            <w:right w:w="0" w:type="dxa"/>
          </w:tblCellMar>
        </w:tblPrEx>
        <w:trPr>
          <w:trHeight w:val="308" w:hRule="atLeast"/>
        </w:trPr>
        <w:tc>
          <w:tcPr>
            <w:tcW w:w="1703"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1,021.47</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1,021.47</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一般公共服务支出</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956.64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956.64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20103</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政府办公厅（室）及相关机构事务</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956.64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956.64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2010308</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信访事务</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956.64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956.64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社会保障和就业支出</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20805</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行政事业单位离退休</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2080505</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机关事业单位基本养老保险缴费支出</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卫生健康支出</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21011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行政事业单位医疗</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2101101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行政单位医疗</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住房保障支出</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22102</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住房改革支出</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2210201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住房公积金</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注：本表反映部门本年度取得的各项收入情况</w:t>
      </w: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 w:val="2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 w:val="2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 w:val="2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支出决算表</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公开03表</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4998" w:type="pct"/>
        <w:tblInd w:w="0" w:type="dxa"/>
        <w:shd w:val="clear" w:color="auto" w:fill="auto"/>
        <w:tblLayout w:type="autofit"/>
        <w:tblCellMar>
          <w:top w:w="0" w:type="dxa"/>
          <w:left w:w="0" w:type="dxa"/>
          <w:bottom w:w="0" w:type="dxa"/>
          <w:right w:w="0" w:type="dxa"/>
        </w:tblCellMar>
      </w:tblPr>
      <w:tblGrid>
        <w:gridCol w:w="759"/>
        <w:gridCol w:w="3594"/>
        <w:gridCol w:w="1389"/>
        <w:gridCol w:w="1402"/>
        <w:gridCol w:w="1402"/>
        <w:gridCol w:w="1403"/>
        <w:gridCol w:w="1403"/>
        <w:gridCol w:w="1423"/>
      </w:tblGrid>
      <w:tr>
        <w:tblPrEx>
          <w:tblCellMar>
            <w:top w:w="0" w:type="dxa"/>
            <w:left w:w="0" w:type="dxa"/>
            <w:bottom w:w="0" w:type="dxa"/>
            <w:right w:w="0" w:type="dxa"/>
          </w:tblCellMar>
        </w:tblPrEx>
        <w:trPr>
          <w:trHeight w:val="308" w:hRule="atLeast"/>
        </w:trPr>
        <w:tc>
          <w:tcPr>
            <w:tcW w:w="170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544"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本年支出合计</w:t>
            </w:r>
          </w:p>
        </w:tc>
        <w:tc>
          <w:tcPr>
            <w:tcW w:w="54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基本支出</w:t>
            </w:r>
          </w:p>
        </w:tc>
        <w:tc>
          <w:tcPr>
            <w:tcW w:w="54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项目支出</w:t>
            </w:r>
          </w:p>
        </w:tc>
        <w:tc>
          <w:tcPr>
            <w:tcW w:w="54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上缴上级支出</w:t>
            </w:r>
          </w:p>
        </w:tc>
        <w:tc>
          <w:tcPr>
            <w:tcW w:w="54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经营支出</w:t>
            </w:r>
          </w:p>
        </w:tc>
        <w:tc>
          <w:tcPr>
            <w:tcW w:w="553"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对附属单位补助支出</w:t>
            </w:r>
          </w:p>
        </w:tc>
      </w:tr>
      <w:tr>
        <w:tblPrEx>
          <w:tblCellMar>
            <w:top w:w="0" w:type="dxa"/>
            <w:left w:w="0" w:type="dxa"/>
            <w:bottom w:w="0" w:type="dxa"/>
            <w:right w:w="0" w:type="dxa"/>
          </w:tblCellMar>
        </w:tblPrEx>
        <w:trPr>
          <w:trHeight w:val="308" w:hRule="atLeast"/>
        </w:trPr>
        <w:tc>
          <w:tcPr>
            <w:tcW w:w="297"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功能分类科目编码</w:t>
            </w:r>
          </w:p>
        </w:tc>
        <w:tc>
          <w:tcPr>
            <w:tcW w:w="1406"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54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406"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406"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4"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1703"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544"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549"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549"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549"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549"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553"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r>
      <w:tr>
        <w:tblPrEx>
          <w:shd w:val="clear" w:color="auto" w:fill="auto"/>
          <w:tblCellMar>
            <w:top w:w="0" w:type="dxa"/>
            <w:left w:w="0" w:type="dxa"/>
            <w:bottom w:w="0" w:type="dxa"/>
            <w:right w:w="0" w:type="dxa"/>
          </w:tblCellMar>
        </w:tblPrEx>
        <w:trPr>
          <w:trHeight w:val="308" w:hRule="atLeast"/>
        </w:trPr>
        <w:tc>
          <w:tcPr>
            <w:tcW w:w="1703"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441.56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一般公共服务支出</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376.73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20103</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政府办公厅（室）及相关机构事务</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376.73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2010308</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信访事务</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376.73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社会保障和就业支出</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20805</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行政事业单位离退休</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2080505</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机关事业单位基本养老保险缴费支出</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卫生健康支出</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21011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行政事业单位医疗</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2101101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行政单位医疗</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住房保障支出</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22102</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住房改革支出</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97"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2210201</w:t>
            </w:r>
          </w:p>
        </w:tc>
        <w:tc>
          <w:tcPr>
            <w:tcW w:w="14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住房公积金</w:t>
            </w:r>
          </w:p>
        </w:tc>
        <w:tc>
          <w:tcPr>
            <w:tcW w:w="54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4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5000" w:type="pct"/>
            <w:gridSpan w:val="8"/>
            <w:tcBorders>
              <w:top w:val="nil"/>
              <w:left w:val="nil"/>
              <w:bottom w:val="nil"/>
              <w:right w:val="nil"/>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注：本表反映部门本年度各项支出情况。</w:t>
            </w: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1"/>
          <w:szCs w:val="21"/>
          <w:highlight w:val="none"/>
          <w14:textFill>
            <w14:solidFill>
              <w14:schemeClr w14:val="tx1"/>
            </w14:solidFill>
          </w14:textFill>
        </w:rPr>
        <w:t>财政拨款收入支出决算总表</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公开04表</w:t>
      </w: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0" w:type="auto"/>
        <w:tblInd w:w="0" w:type="dxa"/>
        <w:shd w:val="clear" w:color="auto" w:fill="auto"/>
        <w:tblLayout w:type="autofit"/>
        <w:tblCellMar>
          <w:top w:w="0" w:type="dxa"/>
          <w:left w:w="0" w:type="dxa"/>
          <w:bottom w:w="0" w:type="dxa"/>
          <w:right w:w="0" w:type="dxa"/>
        </w:tblCellMar>
      </w:tblPr>
      <w:tblGrid>
        <w:gridCol w:w="2754"/>
        <w:gridCol w:w="433"/>
        <w:gridCol w:w="864"/>
        <w:gridCol w:w="3174"/>
        <w:gridCol w:w="434"/>
        <w:gridCol w:w="864"/>
        <w:gridCol w:w="2055"/>
        <w:gridCol w:w="2202"/>
      </w:tblGrid>
      <w:tr>
        <w:tblPrEx>
          <w:tblCellMar>
            <w:top w:w="0" w:type="dxa"/>
            <w:left w:w="0" w:type="dxa"/>
            <w:bottom w:w="0" w:type="dxa"/>
            <w:right w:w="0"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收     入</w:t>
            </w:r>
          </w:p>
        </w:tc>
        <w:tc>
          <w:tcPr>
            <w:tcW w:w="0" w:type="auto"/>
            <w:gridSpan w:val="5"/>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支     出</w:t>
            </w:r>
          </w:p>
        </w:tc>
      </w:tr>
      <w:tr>
        <w:tblPrEx>
          <w:shd w:val="clear" w:color="auto" w:fill="auto"/>
          <w:tblCellMar>
            <w:top w:w="0" w:type="dxa"/>
            <w:left w:w="0" w:type="dxa"/>
            <w:bottom w:w="0" w:type="dxa"/>
            <w:right w:w="0" w:type="dxa"/>
          </w:tblCellMar>
        </w:tblPrEx>
        <w:trPr>
          <w:trHeight w:val="292" w:hRule="atLeast"/>
        </w:trPr>
        <w:tc>
          <w:tcPr>
            <w:tcW w:w="0" w:type="auto"/>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0" w:type="auto"/>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行次</w:t>
            </w:r>
          </w:p>
        </w:tc>
        <w:tc>
          <w:tcPr>
            <w:tcW w:w="0" w:type="auto"/>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金额</w:t>
            </w:r>
          </w:p>
        </w:tc>
        <w:tc>
          <w:tcPr>
            <w:tcW w:w="0" w:type="auto"/>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0" w:type="auto"/>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行次</w:t>
            </w:r>
          </w:p>
        </w:tc>
        <w:tc>
          <w:tcPr>
            <w:tcW w:w="0" w:type="auto"/>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0" w:type="auto"/>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一般公共预算财政拨款</w:t>
            </w:r>
          </w:p>
        </w:tc>
        <w:tc>
          <w:tcPr>
            <w:tcW w:w="0" w:type="auto"/>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政府性基金预算财政拨款</w:t>
            </w:r>
          </w:p>
        </w:tc>
      </w:tr>
      <w:tr>
        <w:tblPrEx>
          <w:tblCellMar>
            <w:top w:w="0" w:type="dxa"/>
            <w:left w:w="0" w:type="dxa"/>
            <w:bottom w:w="0" w:type="dxa"/>
            <w:right w:w="0" w:type="dxa"/>
          </w:tblCellMar>
        </w:tblPrEx>
        <w:trPr>
          <w:trHeight w:val="615" w:hRule="atLeast"/>
        </w:trPr>
        <w:tc>
          <w:tcPr>
            <w:tcW w:w="0" w:type="auto"/>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1,021.47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一、一般公共服务支出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二、外交支出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三、国防支出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四、公共安全支出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五、教育支出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六、科学技术支出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七、文化旅游体育与传媒支出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八、社会保障和就业支出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九、卫生健康支出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十、节能环保支出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十一、城乡社区支出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十二、农林水支出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十三、交通运输支出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十四、资源勘探信息等支出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十五、商业服务业等支出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十六、金融支出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十七、援助其他地区支出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十八、自然资源海洋气象等支出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十九、住房保障支出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二十、粮油物资储备支出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二十一、灾害防治及应急管理支出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二十二、其他支出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二十四、债务付息支出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本年收入合计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1,021.47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本年支出合计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年初财政拨款结转和结余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年末财政拨款结转和结余</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54</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一、一般公共预算财政拨款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4.23</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55</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二、政府性基金预算财政拨款</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27</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56</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29</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总计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gridSpan w:val="8"/>
            <w:tcBorders>
              <w:top w:val="nil"/>
              <w:left w:val="nil"/>
              <w:bottom w:val="nil"/>
              <w:right w:val="nil"/>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注：本表反映部门本年度一般公共预算财政拨款和政府性基金预算财政拨款的总收支和年末结转结余情况。</w:t>
            </w: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一般公共预算财政拨款支出决算表</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公开05表</w:t>
      </w: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4998" w:type="pct"/>
        <w:tblInd w:w="0" w:type="dxa"/>
        <w:shd w:val="clear" w:color="auto" w:fill="auto"/>
        <w:tblLayout w:type="autofit"/>
        <w:tblCellMar>
          <w:top w:w="0" w:type="dxa"/>
          <w:left w:w="0" w:type="dxa"/>
          <w:bottom w:w="0" w:type="dxa"/>
          <w:right w:w="0" w:type="dxa"/>
        </w:tblCellMar>
      </w:tblPr>
      <w:tblGrid>
        <w:gridCol w:w="897"/>
        <w:gridCol w:w="4172"/>
        <w:gridCol w:w="2565"/>
        <w:gridCol w:w="2565"/>
        <w:gridCol w:w="2576"/>
      </w:tblGrid>
      <w:tr>
        <w:tblPrEx>
          <w:tblCellMar>
            <w:top w:w="0" w:type="dxa"/>
            <w:left w:w="0" w:type="dxa"/>
            <w:bottom w:w="0" w:type="dxa"/>
            <w:right w:w="0" w:type="dxa"/>
          </w:tblCellMar>
        </w:tblPrEx>
        <w:trPr>
          <w:cantSplit/>
          <w:trHeight w:val="23" w:hRule="atLeast"/>
        </w:trPr>
        <w:tc>
          <w:tcPr>
            <w:tcW w:w="198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3015" w:type="pct"/>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本年支出</w:t>
            </w:r>
          </w:p>
        </w:tc>
      </w:tr>
      <w:tr>
        <w:tblPrEx>
          <w:tblCellMar>
            <w:top w:w="0" w:type="dxa"/>
            <w:left w:w="0" w:type="dxa"/>
            <w:bottom w:w="0" w:type="dxa"/>
            <w:right w:w="0" w:type="dxa"/>
          </w:tblCellMar>
        </w:tblPrEx>
        <w:trPr>
          <w:cantSplit/>
          <w:trHeight w:val="312" w:hRule="atLeast"/>
        </w:trPr>
        <w:tc>
          <w:tcPr>
            <w:tcW w:w="351"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功能分类科目编码</w:t>
            </w:r>
          </w:p>
        </w:tc>
        <w:tc>
          <w:tcPr>
            <w:tcW w:w="1633"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1004"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小计</w:t>
            </w:r>
          </w:p>
        </w:tc>
        <w:tc>
          <w:tcPr>
            <w:tcW w:w="1004"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基本支出</w:t>
            </w:r>
          </w:p>
        </w:tc>
        <w:tc>
          <w:tcPr>
            <w:tcW w:w="100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项目支出</w:t>
            </w:r>
          </w:p>
        </w:tc>
      </w:tr>
      <w:tr>
        <w:tblPrEx>
          <w:shd w:val="clear" w:color="auto" w:fill="auto"/>
          <w:tblCellMar>
            <w:top w:w="0" w:type="dxa"/>
            <w:left w:w="0" w:type="dxa"/>
            <w:bottom w:w="0" w:type="dxa"/>
            <w:right w:w="0" w:type="dxa"/>
          </w:tblCellMar>
        </w:tblPrEx>
        <w:trPr>
          <w:cantSplit/>
          <w:trHeight w:val="312" w:hRule="atLeast"/>
        </w:trPr>
        <w:tc>
          <w:tcPr>
            <w:tcW w:w="351"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633"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004"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004"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00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cantSplit/>
          <w:trHeight w:val="312" w:hRule="atLeast"/>
        </w:trPr>
        <w:tc>
          <w:tcPr>
            <w:tcW w:w="351"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633"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004"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004"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00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cantSplit/>
          <w:trHeight w:val="23" w:hRule="atLeast"/>
        </w:trPr>
        <w:tc>
          <w:tcPr>
            <w:tcW w:w="1984"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r>
      <w:tr>
        <w:tblPrEx>
          <w:shd w:val="clear" w:color="auto" w:fill="auto"/>
          <w:tblCellMar>
            <w:top w:w="0" w:type="dxa"/>
            <w:left w:w="0" w:type="dxa"/>
            <w:bottom w:w="0" w:type="dxa"/>
            <w:right w:w="0" w:type="dxa"/>
          </w:tblCellMar>
        </w:tblPrEx>
        <w:trPr>
          <w:cantSplit/>
          <w:trHeight w:val="23" w:hRule="atLeast"/>
        </w:trPr>
        <w:tc>
          <w:tcPr>
            <w:tcW w:w="1984"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1,025.70</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441.56</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r>
      <w:tr>
        <w:tblPrEx>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一般公共服务支出</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376.73</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r>
      <w:tr>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20103</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政府办公厅（室）及相关机构事务</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376.73</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r>
      <w:tr>
        <w:tblPrEx>
          <w:shd w:val="clear" w:color="auto" w:fill="auto"/>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2010308</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信访事务</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960.86</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376.73</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584.14</w:t>
            </w:r>
          </w:p>
        </w:tc>
      </w:tr>
      <w:tr>
        <w:tblPrEx>
          <w:shd w:val="clear" w:color="auto" w:fill="auto"/>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社会保障和就业支出</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20805</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行政事业单位离退休</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2080505</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机关事业单位基本养老保险缴费支出</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卫生健康支出</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21011</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行政事业单位医疗</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2101101</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行政单位医疗</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13.34</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住房保障支出</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22102</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住房改革支出</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cantSplit/>
          <w:trHeight w:val="23" w:hRule="atLeast"/>
        </w:trPr>
        <w:tc>
          <w:tcPr>
            <w:tcW w:w="351"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2210201</w:t>
            </w:r>
          </w:p>
        </w:tc>
        <w:tc>
          <w:tcPr>
            <w:tcW w:w="1633"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住房公积金</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100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21.03</w:t>
            </w:r>
          </w:p>
        </w:tc>
        <w:tc>
          <w:tcPr>
            <w:tcW w:w="100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5000" w:type="pct"/>
            <w:gridSpan w:val="5"/>
            <w:tcBorders>
              <w:top w:val="nil"/>
              <w:left w:val="nil"/>
              <w:bottom w:val="nil"/>
              <w:right w:val="nil"/>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注：本表反映部门本年度一般公共预算财政拨款支出情况。</w:t>
            </w: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 w:val="28"/>
          <w:szCs w:val="28"/>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 w:val="21"/>
          <w:szCs w:val="21"/>
          <w:highlight w:val="none"/>
          <w14:textFill>
            <w14:solidFill>
              <w14:schemeClr w14:val="tx1"/>
            </w14:solidFill>
          </w14:textFill>
        </w:rPr>
      </w:pPr>
    </w:p>
    <w:p>
      <w:pPr>
        <w:widowControl/>
        <w:spacing w:line="240" w:lineRule="auto"/>
        <w:ind w:left="0" w:leftChars="0" w:right="0" w:rightChars="0" w:firstLine="4410" w:firstLineChars="2100"/>
        <w:jc w:val="both"/>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一般公共预算财政拨款基本支出决算表                                    公开06表</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4998" w:type="pct"/>
        <w:tblInd w:w="0" w:type="dxa"/>
        <w:shd w:val="clear" w:color="auto" w:fill="auto"/>
        <w:tblLayout w:type="autofit"/>
        <w:tblCellMar>
          <w:top w:w="0" w:type="dxa"/>
          <w:left w:w="0" w:type="dxa"/>
          <w:bottom w:w="0" w:type="dxa"/>
          <w:right w:w="0" w:type="dxa"/>
        </w:tblCellMar>
      </w:tblPr>
      <w:tblGrid>
        <w:gridCol w:w="549"/>
        <w:gridCol w:w="3174"/>
        <w:gridCol w:w="654"/>
        <w:gridCol w:w="549"/>
        <w:gridCol w:w="2124"/>
        <w:gridCol w:w="549"/>
        <w:gridCol w:w="549"/>
        <w:gridCol w:w="4016"/>
        <w:gridCol w:w="611"/>
      </w:tblGrid>
      <w:tr>
        <w:tblPrEx>
          <w:tblCellMar>
            <w:top w:w="0" w:type="dxa"/>
            <w:left w:w="0" w:type="dxa"/>
            <w:bottom w:w="0" w:type="dxa"/>
            <w:right w:w="0" w:type="dxa"/>
          </w:tblCellMar>
        </w:tblPrEx>
        <w:trPr>
          <w:trHeight w:val="308" w:hRule="atLeast"/>
        </w:trPr>
        <w:tc>
          <w:tcPr>
            <w:tcW w:w="171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人员经费</w:t>
            </w:r>
          </w:p>
        </w:tc>
        <w:tc>
          <w:tcPr>
            <w:tcW w:w="3287" w:type="pct"/>
            <w:gridSpan w:val="6"/>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公用经费</w:t>
            </w:r>
          </w:p>
        </w:tc>
      </w:tr>
      <w:tr>
        <w:tblPrEx>
          <w:tblCellMar>
            <w:top w:w="0" w:type="dxa"/>
            <w:left w:w="0" w:type="dxa"/>
            <w:bottom w:w="0" w:type="dxa"/>
            <w:right w:w="0" w:type="dxa"/>
          </w:tblCellMar>
        </w:tblPrEx>
        <w:trPr>
          <w:trHeight w:val="308" w:hRule="atLeast"/>
        </w:trPr>
        <w:tc>
          <w:tcPr>
            <w:tcW w:w="214"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科目编码</w:t>
            </w:r>
          </w:p>
        </w:tc>
        <w:tc>
          <w:tcPr>
            <w:tcW w:w="1242"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255"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决算数</w:t>
            </w:r>
          </w:p>
        </w:tc>
        <w:tc>
          <w:tcPr>
            <w:tcW w:w="214"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科目编码</w:t>
            </w:r>
          </w:p>
        </w:tc>
        <w:tc>
          <w:tcPr>
            <w:tcW w:w="831"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2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决算数</w:t>
            </w:r>
          </w:p>
        </w:tc>
        <w:tc>
          <w:tcPr>
            <w:tcW w:w="214"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科目编码</w:t>
            </w:r>
          </w:p>
        </w:tc>
        <w:tc>
          <w:tcPr>
            <w:tcW w:w="1570"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239"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决算数</w:t>
            </w:r>
          </w:p>
        </w:tc>
      </w:tr>
      <w:tr>
        <w:tblPrEx>
          <w:shd w:val="clear" w:color="auto" w:fill="auto"/>
          <w:tblCellMar>
            <w:top w:w="0" w:type="dxa"/>
            <w:left w:w="0" w:type="dxa"/>
            <w:bottom w:w="0" w:type="dxa"/>
            <w:right w:w="0" w:type="dxa"/>
          </w:tblCellMar>
        </w:tblPrEx>
        <w:trPr>
          <w:trHeight w:val="308" w:hRule="atLeast"/>
        </w:trPr>
        <w:tc>
          <w:tcPr>
            <w:tcW w:w="214"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242"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55"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831"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570"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3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工资福利支出</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367.12</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商品和服务支出</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48.55</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307</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债务利息及费用支出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30101</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基本工资</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93.51</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30201</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办公费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5.85</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30701</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国内债务付息</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30102</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津贴补贴</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59.35</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30202</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印刷费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0.08</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30702</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国外债务付息</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30103</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奖金</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2.27</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30203</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咨询费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资本性支出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30106</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伙食补助费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30204</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手续费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31001</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房屋建筑物购建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30107</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绩效工资</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73.22</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30205</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水费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0.84</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31002</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办公设备购置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30108</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机关事业单位基本养老保险缴费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30.46</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30206</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电费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2.24</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31003</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专用设备购置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30109</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职业年金缴费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4.63</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30207</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邮电费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15.87</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31005</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基础设施建设</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30110</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职工基本医疗保险缴费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13.35</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30208</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取暖费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5.75</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31006</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大型修缮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30111</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公务员医疗补助缴费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30209</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物业管理费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2.80</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31007</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信息网络及软件购置更新</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30112</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其他社会保障缴费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0.88</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30211</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差旅费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1.94</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31008</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物资储备</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30113</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住房公积金</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21.74</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30212</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因公出国（境）费用</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31009</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土地补偿</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30114</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医疗费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30213</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维修（护）费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0.84</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31010</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安置补助</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30199</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其他工资福利支出</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67.72</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30214</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租赁费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31011</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地上附着物和青苗补偿</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对个人和家庭的补助</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25.89</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30215</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会议费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31012</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拆迁补偿</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30301</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离休费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30216</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培训费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31013</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公务用车购置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30302</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退休费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公务接待费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31019</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其他交通工具购置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30303</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退职（役）费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30218</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专用材料费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31021</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文物和陈列品购置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30304</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抚恤金</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30224</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被装购置费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31022</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无形资产购置</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30305</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生活补助</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30225</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专用燃料费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31099</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其他资本性支出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30306</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救济费</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30226</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劳务费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399</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其他支出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30307</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医疗费补助</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25.86</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30227</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委托业务费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39906</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赠与</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30308</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助学金</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30228</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工会经费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3.28</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39907</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国家赔偿费用支出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30309</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奖励金</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0.03</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30229</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福利费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2.15</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39908</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对民间非营利组织和群众性自治组织补贴</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30310</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个人农业生产补贴</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30231</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公务用车运行维护费</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2.50</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39999</w:t>
            </w: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其他支出</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214"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30399</w:t>
            </w:r>
          </w:p>
        </w:tc>
        <w:tc>
          <w:tcPr>
            <w:tcW w:w="1242"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其他对个人和家庭的补助</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30239</w:t>
            </w:r>
          </w:p>
        </w:tc>
        <w:tc>
          <w:tcPr>
            <w:tcW w:w="831"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 xml:space="preserve">  其他交通费用</w:t>
            </w:r>
          </w:p>
        </w:tc>
        <w:tc>
          <w:tcPr>
            <w:tcW w:w="2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4.41</w:t>
            </w:r>
          </w:p>
        </w:tc>
        <w:tc>
          <w:tcPr>
            <w:tcW w:w="214"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570"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456"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人员经费合计</w:t>
            </w:r>
          </w:p>
        </w:tc>
        <w:tc>
          <w:tcPr>
            <w:tcW w:w="255"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393.01</w:t>
            </w:r>
          </w:p>
        </w:tc>
        <w:tc>
          <w:tcPr>
            <w:tcW w:w="3048" w:type="pct"/>
            <w:gridSpan w:val="5"/>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公用经费合计</w:t>
            </w:r>
          </w:p>
        </w:tc>
        <w:tc>
          <w:tcPr>
            <w:tcW w:w="23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48.55</w:t>
            </w:r>
          </w:p>
        </w:tc>
      </w:tr>
      <w:tr>
        <w:tblPrEx>
          <w:shd w:val="clear" w:color="auto" w:fill="auto"/>
          <w:tblCellMar>
            <w:top w:w="0" w:type="dxa"/>
            <w:left w:w="0" w:type="dxa"/>
            <w:bottom w:w="0" w:type="dxa"/>
            <w:right w:w="0" w:type="dxa"/>
          </w:tblCellMar>
        </w:tblPrEx>
        <w:trPr>
          <w:trHeight w:val="308" w:hRule="atLeast"/>
        </w:trPr>
        <w:tc>
          <w:tcPr>
            <w:tcW w:w="5000" w:type="pct"/>
            <w:gridSpan w:val="9"/>
            <w:tcBorders>
              <w:top w:val="nil"/>
              <w:left w:val="nil"/>
              <w:bottom w:val="nil"/>
              <w:right w:val="nil"/>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注：本表反映部门本年度一般公共预算财政拨款基本支出明细情况。</w:t>
            </w: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ind w:firstLine="3570" w:firstLineChars="17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一般公共预算财政拨款“三公”经费支出决算表</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公开07表</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5000" w:type="pct"/>
        <w:tblInd w:w="0" w:type="dxa"/>
        <w:shd w:val="clear" w:color="auto" w:fill="auto"/>
        <w:tblLayout w:type="autofit"/>
        <w:tblCellMar>
          <w:top w:w="0" w:type="dxa"/>
          <w:left w:w="0" w:type="dxa"/>
          <w:bottom w:w="0" w:type="dxa"/>
          <w:right w:w="0" w:type="dxa"/>
        </w:tblCellMar>
      </w:tblPr>
      <w:tblGrid>
        <w:gridCol w:w="1063"/>
        <w:gridCol w:w="1063"/>
        <w:gridCol w:w="1063"/>
        <w:gridCol w:w="1063"/>
        <w:gridCol w:w="1068"/>
        <w:gridCol w:w="1074"/>
        <w:gridCol w:w="1063"/>
        <w:gridCol w:w="1063"/>
        <w:gridCol w:w="1063"/>
        <w:gridCol w:w="1064"/>
        <w:gridCol w:w="1069"/>
        <w:gridCol w:w="1064"/>
      </w:tblGrid>
      <w:tr>
        <w:tblPrEx>
          <w:shd w:val="clear" w:color="auto" w:fill="auto"/>
          <w:tblCellMar>
            <w:top w:w="0" w:type="dxa"/>
            <w:left w:w="0" w:type="dxa"/>
            <w:bottom w:w="0" w:type="dxa"/>
            <w:right w:w="0" w:type="dxa"/>
          </w:tblCellMar>
        </w:tblPrEx>
        <w:trPr>
          <w:trHeight w:val="308" w:hRule="atLeast"/>
        </w:trPr>
        <w:tc>
          <w:tcPr>
            <w:tcW w:w="2500"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预算数</w:t>
            </w:r>
          </w:p>
        </w:tc>
        <w:tc>
          <w:tcPr>
            <w:tcW w:w="2500" w:type="pct"/>
            <w:gridSpan w:val="6"/>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决算数</w:t>
            </w:r>
          </w:p>
        </w:tc>
      </w:tr>
      <w:tr>
        <w:tblPrEx>
          <w:tblCellMar>
            <w:top w:w="0" w:type="dxa"/>
            <w:left w:w="0" w:type="dxa"/>
            <w:bottom w:w="0" w:type="dxa"/>
            <w:right w:w="0" w:type="dxa"/>
          </w:tblCellMar>
        </w:tblPrEx>
        <w:trPr>
          <w:trHeight w:val="308" w:hRule="atLeast"/>
        </w:trPr>
        <w:tc>
          <w:tcPr>
            <w:tcW w:w="416"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4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因公出国（境）费</w:t>
            </w:r>
          </w:p>
        </w:tc>
        <w:tc>
          <w:tcPr>
            <w:tcW w:w="1250" w:type="pct"/>
            <w:gridSpan w:val="3"/>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公务用车购置及运行费</w:t>
            </w:r>
          </w:p>
        </w:tc>
        <w:tc>
          <w:tcPr>
            <w:tcW w:w="4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公务接待费</w:t>
            </w:r>
          </w:p>
        </w:tc>
        <w:tc>
          <w:tcPr>
            <w:tcW w:w="4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4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因公出国（境）费</w:t>
            </w:r>
          </w:p>
        </w:tc>
        <w:tc>
          <w:tcPr>
            <w:tcW w:w="1250" w:type="pct"/>
            <w:gridSpan w:val="3"/>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公务用车购置及运行费</w:t>
            </w:r>
          </w:p>
        </w:tc>
        <w:tc>
          <w:tcPr>
            <w:tcW w:w="416"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公务接待费</w:t>
            </w:r>
          </w:p>
        </w:tc>
      </w:tr>
      <w:tr>
        <w:tblPrEx>
          <w:shd w:val="clear" w:color="auto" w:fill="auto"/>
          <w:tblCellMar>
            <w:top w:w="0" w:type="dxa"/>
            <w:left w:w="0" w:type="dxa"/>
            <w:bottom w:w="0" w:type="dxa"/>
            <w:right w:w="0" w:type="dxa"/>
          </w:tblCellMar>
        </w:tblPrEx>
        <w:trPr>
          <w:trHeight w:val="615" w:hRule="atLeast"/>
        </w:trPr>
        <w:tc>
          <w:tcPr>
            <w:tcW w:w="416"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小计</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公务用车购置费</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公务用车运行费</w:t>
            </w:r>
          </w:p>
        </w:tc>
        <w:tc>
          <w:tcPr>
            <w:tcW w:w="4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小计</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公务用车购置费</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公务用车运行费</w:t>
            </w:r>
          </w:p>
        </w:tc>
        <w:tc>
          <w:tcPr>
            <w:tcW w:w="416"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416" w:type="pc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7</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8</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9</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10</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11</w:t>
            </w:r>
          </w:p>
        </w:tc>
        <w:tc>
          <w:tcPr>
            <w:tcW w:w="416" w:type="pc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12</w:t>
            </w:r>
          </w:p>
        </w:tc>
      </w:tr>
      <w:tr>
        <w:tblPrEx>
          <w:shd w:val="clear" w:color="auto" w:fill="auto"/>
          <w:tblCellMar>
            <w:top w:w="0" w:type="dxa"/>
            <w:left w:w="0" w:type="dxa"/>
            <w:bottom w:w="0" w:type="dxa"/>
            <w:right w:w="0" w:type="dxa"/>
          </w:tblCellMar>
        </w:tblPrEx>
        <w:trPr>
          <w:trHeight w:val="308" w:hRule="atLeast"/>
        </w:trPr>
        <w:tc>
          <w:tcPr>
            <w:tcW w:w="416" w:type="pct"/>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2.88</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2.50</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2.50</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0.38</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2.50</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2.50</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2.50</w:t>
            </w:r>
          </w:p>
        </w:tc>
        <w:tc>
          <w:tcPr>
            <w:tcW w:w="416"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ind w:left="0" w:leftChars="0" w:right="0" w:rightChars="0" w:firstLine="0" w:firstLineChars="0"/>
              <w:jc w:val="center"/>
              <w:rPr>
                <w:rFonts w:hint="eastAsia" w:ascii="仿宋" w:hAnsi="仿宋" w:eastAsia="仿宋" w:cs="仿宋"/>
                <w:color w:val="000000" w:themeColor="text1"/>
                <w:szCs w:val="21"/>
                <w:highlight w:val="none"/>
                <w14:textFill>
                  <w14:solidFill>
                    <w14:schemeClr w14:val="tx1"/>
                  </w14:solidFill>
                </w14:textFill>
              </w:rPr>
            </w:pPr>
          </w:p>
        </w:tc>
      </w:tr>
    </w:tbl>
    <w:p>
      <w:pPr>
        <w:widowControl/>
        <w:spacing w:line="240" w:lineRule="auto"/>
        <w:jc w:val="both"/>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政府性基金预算财政拨款收入支出决算表</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公开08表</w:t>
      </w:r>
    </w:p>
    <w:p>
      <w:pPr>
        <w:widowControl/>
        <w:spacing w:line="240" w:lineRule="auto"/>
        <w:jc w:val="righ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4998" w:type="pct"/>
        <w:tblInd w:w="0" w:type="dxa"/>
        <w:shd w:val="clear" w:color="auto" w:fill="auto"/>
        <w:tblLayout w:type="autofit"/>
        <w:tblCellMar>
          <w:top w:w="0" w:type="dxa"/>
          <w:left w:w="0" w:type="dxa"/>
          <w:bottom w:w="0" w:type="dxa"/>
          <w:right w:w="0" w:type="dxa"/>
        </w:tblCellMar>
      </w:tblPr>
      <w:tblGrid>
        <w:gridCol w:w="841"/>
        <w:gridCol w:w="3352"/>
        <w:gridCol w:w="1429"/>
        <w:gridCol w:w="1429"/>
        <w:gridCol w:w="1429"/>
        <w:gridCol w:w="1430"/>
        <w:gridCol w:w="1435"/>
        <w:gridCol w:w="1430"/>
      </w:tblGrid>
      <w:tr>
        <w:tblPrEx>
          <w:shd w:val="clear" w:color="auto" w:fill="auto"/>
          <w:tblCellMar>
            <w:top w:w="0" w:type="dxa"/>
            <w:left w:w="0" w:type="dxa"/>
            <w:bottom w:w="0" w:type="dxa"/>
            <w:right w:w="0" w:type="dxa"/>
          </w:tblCellMar>
        </w:tblPrEx>
        <w:trPr>
          <w:trHeight w:val="308" w:hRule="atLeast"/>
        </w:trPr>
        <w:tc>
          <w:tcPr>
            <w:tcW w:w="1640"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w:t>
            </w:r>
          </w:p>
        </w:tc>
        <w:tc>
          <w:tcPr>
            <w:tcW w:w="55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年初结转和结余</w:t>
            </w:r>
          </w:p>
        </w:tc>
        <w:tc>
          <w:tcPr>
            <w:tcW w:w="55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本年收入</w:t>
            </w:r>
          </w:p>
        </w:tc>
        <w:tc>
          <w:tcPr>
            <w:tcW w:w="1679" w:type="pct"/>
            <w:gridSpan w:val="3"/>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本年支出</w:t>
            </w:r>
          </w:p>
        </w:tc>
        <w:tc>
          <w:tcPr>
            <w:tcW w:w="559" w:type="pct"/>
            <w:vMerge w:val="restart"/>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年末结转和结余</w:t>
            </w:r>
          </w:p>
        </w:tc>
      </w:tr>
      <w:tr>
        <w:tblPrEx>
          <w:tblCellMar>
            <w:top w:w="0" w:type="dxa"/>
            <w:left w:w="0" w:type="dxa"/>
            <w:bottom w:w="0" w:type="dxa"/>
            <w:right w:w="0" w:type="dxa"/>
          </w:tblCellMar>
        </w:tblPrEx>
        <w:trPr>
          <w:trHeight w:val="308" w:hRule="atLeast"/>
        </w:trPr>
        <w:tc>
          <w:tcPr>
            <w:tcW w:w="329" w:type="pct"/>
            <w:vMerge w:val="restart"/>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功能分类科目编码</w:t>
            </w:r>
          </w:p>
        </w:tc>
        <w:tc>
          <w:tcPr>
            <w:tcW w:w="1310" w:type="pct"/>
            <w:vMerge w:val="restar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小计</w:t>
            </w:r>
          </w:p>
        </w:tc>
        <w:tc>
          <w:tcPr>
            <w:tcW w:w="559"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基本支出</w:t>
            </w:r>
          </w:p>
        </w:tc>
        <w:tc>
          <w:tcPr>
            <w:tcW w:w="559" w:type="pct"/>
            <w:vMerge w:val="restart"/>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项目支出</w:t>
            </w: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329"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310"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tblCellMar>
            <w:top w:w="0" w:type="dxa"/>
            <w:left w:w="0" w:type="dxa"/>
            <w:bottom w:w="0" w:type="dxa"/>
            <w:right w:w="0" w:type="dxa"/>
          </w:tblCellMar>
        </w:tblPrEx>
        <w:trPr>
          <w:trHeight w:val="308" w:hRule="atLeast"/>
        </w:trPr>
        <w:tc>
          <w:tcPr>
            <w:tcW w:w="329" w:type="pct"/>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1310" w:type="pct"/>
            <w:vMerge w:val="continue"/>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vMerge w:val="continue"/>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640"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4</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5</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6</w:t>
            </w:r>
          </w:p>
        </w:tc>
      </w:tr>
      <w:tr>
        <w:tblPrEx>
          <w:shd w:val="clear" w:color="auto" w:fill="auto"/>
          <w:tblCellMar>
            <w:top w:w="0" w:type="dxa"/>
            <w:left w:w="0" w:type="dxa"/>
            <w:bottom w:w="0" w:type="dxa"/>
            <w:right w:w="0" w:type="dxa"/>
          </w:tblCellMar>
        </w:tblPrEx>
        <w:trPr>
          <w:trHeight w:val="308" w:hRule="atLeast"/>
        </w:trPr>
        <w:tc>
          <w:tcPr>
            <w:tcW w:w="1640" w:type="pct"/>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559" w:type="pct"/>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注：本表反映部门本年度政府性基金预算财政拨款收入、支出及结转和结余情况。本部门本年度无收支及结转结余情况，按要求以空表列示。</w:t>
      </w:r>
    </w:p>
    <w:p>
      <w:pPr>
        <w:widowControl/>
        <w:spacing w:line="240" w:lineRule="auto"/>
        <w:ind w:firstLine="4200" w:firstLineChars="2000"/>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国有资本经营预算财政拨款支出决算表</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公开09表</w:t>
      </w: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部门：霸州市信访局</w:t>
      </w:r>
      <w:r>
        <w:rPr>
          <w:rFonts w:hint="eastAsia" w:ascii="仿宋" w:hAnsi="仿宋" w:eastAsia="仿宋" w:cs="仿宋"/>
          <w:color w:val="000000" w:themeColor="text1"/>
          <w:szCs w:val="21"/>
          <w:highlight w:val="none"/>
          <w:lang w:val="en-US" w:eastAsia="zh-CN"/>
          <w14:textFill>
            <w14:solidFill>
              <w14:schemeClr w14:val="tx1"/>
            </w14:solidFill>
          </w14:textFill>
        </w:rPr>
        <w:t xml:space="preserve">                                                                                   </w:t>
      </w:r>
      <w:r>
        <w:rPr>
          <w:rFonts w:hint="eastAsia" w:ascii="仿宋" w:hAnsi="仿宋" w:eastAsia="仿宋" w:cs="仿宋"/>
          <w:color w:val="000000" w:themeColor="text1"/>
          <w:szCs w:val="21"/>
          <w:highlight w:val="none"/>
          <w14:textFill>
            <w14:solidFill>
              <w14:schemeClr w14:val="tx1"/>
            </w14:solidFill>
          </w14:textFill>
        </w:rPr>
        <w:t>金额单位：万元</w:t>
      </w:r>
    </w:p>
    <w:tbl>
      <w:tblPr>
        <w:tblStyle w:val="13"/>
        <w:tblW w:w="12079" w:type="dxa"/>
        <w:tblInd w:w="0" w:type="dxa"/>
        <w:shd w:val="clear" w:color="auto" w:fill="auto"/>
        <w:tblLayout w:type="autofit"/>
        <w:tblCellMar>
          <w:top w:w="0" w:type="dxa"/>
          <w:left w:w="0" w:type="dxa"/>
          <w:bottom w:w="0" w:type="dxa"/>
          <w:right w:w="0" w:type="dxa"/>
        </w:tblCellMar>
      </w:tblPr>
      <w:tblGrid>
        <w:gridCol w:w="1759"/>
        <w:gridCol w:w="4767"/>
        <w:gridCol w:w="1135"/>
        <w:gridCol w:w="2209"/>
        <w:gridCol w:w="2209"/>
      </w:tblGrid>
      <w:tr>
        <w:tblPrEx>
          <w:shd w:val="clear" w:color="auto" w:fill="auto"/>
          <w:tblCellMar>
            <w:top w:w="0" w:type="dxa"/>
            <w:left w:w="0" w:type="dxa"/>
            <w:bottom w:w="0" w:type="dxa"/>
            <w:right w:w="0" w:type="dxa"/>
          </w:tblCellMar>
        </w:tblPrEx>
        <w:trPr>
          <w:trHeight w:val="308" w:hRule="atLeast"/>
        </w:trPr>
        <w:tc>
          <w:tcPr>
            <w:tcW w:w="652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w:t>
            </w:r>
          </w:p>
        </w:tc>
        <w:tc>
          <w:tcPr>
            <w:tcW w:w="5553" w:type="dxa"/>
            <w:gridSpan w:val="3"/>
            <w:tcBorders>
              <w:top w:val="single" w:color="000000" w:sz="4" w:space="0"/>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本年支出</w:t>
            </w:r>
          </w:p>
        </w:tc>
      </w:tr>
      <w:tr>
        <w:tblPrEx>
          <w:shd w:val="clear" w:color="auto" w:fill="auto"/>
          <w:tblCellMar>
            <w:top w:w="0" w:type="dxa"/>
            <w:left w:w="0" w:type="dxa"/>
            <w:bottom w:w="0" w:type="dxa"/>
            <w:right w:w="0" w:type="dxa"/>
          </w:tblCellMar>
        </w:tblPrEx>
        <w:trPr>
          <w:trHeight w:val="615" w:hRule="atLeast"/>
        </w:trPr>
        <w:tc>
          <w:tcPr>
            <w:tcW w:w="1759"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功能分类科目编码</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科目名称</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小计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基本支出</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项目支出</w:t>
            </w:r>
          </w:p>
        </w:tc>
      </w:tr>
      <w:tr>
        <w:tblPrEx>
          <w:shd w:val="clear" w:color="auto" w:fill="auto"/>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栏次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1</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2</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3</w:t>
            </w:r>
          </w:p>
        </w:tc>
      </w:tr>
      <w:tr>
        <w:tblPrEx>
          <w:tblCellMar>
            <w:top w:w="0" w:type="dxa"/>
            <w:left w:w="0" w:type="dxa"/>
            <w:bottom w:w="0" w:type="dxa"/>
            <w:right w:w="0"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合计</w:t>
            </w: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4767" w:type="dxa"/>
            <w:tcBorders>
              <w:top w:val="nil"/>
              <w:left w:val="nil"/>
              <w:bottom w:val="single" w:color="000000" w:sz="4" w:space="0"/>
              <w:right w:val="single" w:color="000000" w:sz="4" w:space="0"/>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c>
          <w:tcPr>
            <w:tcW w:w="0" w:type="auto"/>
            <w:tcBorders>
              <w:top w:val="nil"/>
              <w:left w:val="nil"/>
              <w:bottom w:val="single" w:color="000000" w:sz="4" w:space="0"/>
              <w:right w:val="single" w:color="000000" w:sz="4" w:space="0"/>
            </w:tcBorders>
            <w:shd w:val="clear" w:color="auto" w:fill="auto"/>
            <w:noWrap/>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tc>
      </w:tr>
      <w:tr>
        <w:tblPrEx>
          <w:shd w:val="clear" w:color="auto" w:fill="auto"/>
          <w:tblCellMar>
            <w:top w:w="0" w:type="dxa"/>
            <w:left w:w="0" w:type="dxa"/>
            <w:bottom w:w="0" w:type="dxa"/>
            <w:right w:w="0" w:type="dxa"/>
          </w:tblCellMar>
        </w:tblPrEx>
        <w:trPr>
          <w:trHeight w:val="308" w:hRule="atLeast"/>
        </w:trPr>
        <w:tc>
          <w:tcPr>
            <w:tcW w:w="12079" w:type="dxa"/>
            <w:gridSpan w:val="5"/>
            <w:tcBorders>
              <w:top w:val="nil"/>
              <w:left w:val="nil"/>
              <w:bottom w:val="nil"/>
              <w:right w:val="nil"/>
            </w:tcBorders>
            <w:shd w:val="clear" w:color="auto" w:fill="auto"/>
            <w:tcMar>
              <w:top w:w="12" w:type="dxa"/>
              <w:left w:w="12" w:type="dxa"/>
              <w:right w:w="12" w:type="dxa"/>
            </w:tcMar>
            <w:vAlign w:val="center"/>
          </w:tcPr>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lang w:val="en-US" w:eastAsia="zh-CN"/>
                <w14:textFill>
                  <w14:solidFill>
                    <w14:schemeClr w14:val="tx1"/>
                  </w14:solidFill>
                </w14:textFill>
              </w:rPr>
              <w:t>注：本表反映部门本年度国有资本经营预算财政拨款支出情况。本部门本年度无相关支出情况，按要求以空表列示。</w:t>
            </w:r>
          </w:p>
        </w:tc>
      </w:tr>
    </w:tbl>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p>
      <w:pPr>
        <w:widowControl/>
        <w:spacing w:line="240" w:lineRule="auto"/>
        <w:rPr>
          <w:rFonts w:hint="eastAsia" w:ascii="仿宋" w:hAnsi="仿宋" w:eastAsia="仿宋" w:cs="仿宋"/>
          <w:color w:val="000000" w:themeColor="text1"/>
          <w:szCs w:val="21"/>
          <w:highlight w:val="none"/>
          <w14:textFill>
            <w14:solidFill>
              <w14:schemeClr w14:val="tx1"/>
            </w14:solidFill>
          </w14:textFill>
        </w:rPr>
      </w:pPr>
    </w:p>
    <w:sectPr>
      <w:pgSz w:w="16838" w:h="11906" w:orient="landscape"/>
      <w:pgMar w:top="1588" w:right="2098" w:bottom="1474" w:left="198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embedRegular r:id="rId1" w:fontKey="{B8A4EE33-B554-4AB6-9889-6C58EB982B8F}"/>
  </w:font>
  <w:font w:name="仿宋_GB2312">
    <w:panose1 w:val="02010609030101010101"/>
    <w:charset w:val="86"/>
    <w:family w:val="modern"/>
    <w:pitch w:val="default"/>
    <w:sig w:usb0="00000000" w:usb1="00000000" w:usb2="00000000" w:usb3="00000000" w:csb0="00000000" w:csb1="00000000"/>
    <w:embedRegular r:id="rId2" w:fontKey="{89B6D07C-F44D-42C2-8721-3F68388DCFF8}"/>
  </w:font>
  <w:font w:name="DengXian-Regular">
    <w:altName w:val="宋体"/>
    <w:panose1 w:val="00000000000000000000"/>
    <w:charset w:val="86"/>
    <w:family w:val="auto"/>
    <w:pitch w:val="default"/>
    <w:sig w:usb0="00000000" w:usb1="00000000" w:usb2="00000010" w:usb3="00000000" w:csb0="00040001" w:csb1="00000000"/>
    <w:embedRegular r:id="rId3" w:fontKey="{A2848F18-447F-4211-B379-256A5D76BB6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6BD2"/>
    <w:multiLevelType w:val="singleLevel"/>
    <w:tmpl w:val="2C016BD2"/>
    <w:lvl w:ilvl="0" w:tentative="0">
      <w:start w:val="2"/>
      <w:numFmt w:val="decimal"/>
      <w:suff w:val="space"/>
      <w:lvlText w:val="%1."/>
      <w:lvlJc w:val="left"/>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41C8F"/>
    <w:rsid w:val="00347601"/>
    <w:rsid w:val="0035463A"/>
    <w:rsid w:val="00391D9D"/>
    <w:rsid w:val="003B6C51"/>
    <w:rsid w:val="003C1413"/>
    <w:rsid w:val="003C549F"/>
    <w:rsid w:val="003D5A16"/>
    <w:rsid w:val="003E3DC2"/>
    <w:rsid w:val="003E71FD"/>
    <w:rsid w:val="003E7DB3"/>
    <w:rsid w:val="00400C87"/>
    <w:rsid w:val="0041168F"/>
    <w:rsid w:val="00414E99"/>
    <w:rsid w:val="00431175"/>
    <w:rsid w:val="004374A3"/>
    <w:rsid w:val="00470B4F"/>
    <w:rsid w:val="00472FB1"/>
    <w:rsid w:val="00493686"/>
    <w:rsid w:val="004B6E37"/>
    <w:rsid w:val="004C32BA"/>
    <w:rsid w:val="004C68EF"/>
    <w:rsid w:val="004C6F49"/>
    <w:rsid w:val="004D1845"/>
    <w:rsid w:val="004F067C"/>
    <w:rsid w:val="00575922"/>
    <w:rsid w:val="005A3C0D"/>
    <w:rsid w:val="005A6C90"/>
    <w:rsid w:val="005B37E6"/>
    <w:rsid w:val="005D77F7"/>
    <w:rsid w:val="005E369C"/>
    <w:rsid w:val="005E3FB0"/>
    <w:rsid w:val="005F4B66"/>
    <w:rsid w:val="005F5208"/>
    <w:rsid w:val="00615C31"/>
    <w:rsid w:val="00636436"/>
    <w:rsid w:val="00641318"/>
    <w:rsid w:val="0064405D"/>
    <w:rsid w:val="006575C9"/>
    <w:rsid w:val="00695557"/>
    <w:rsid w:val="006C3715"/>
    <w:rsid w:val="006D4EA7"/>
    <w:rsid w:val="0070012A"/>
    <w:rsid w:val="0070623F"/>
    <w:rsid w:val="0070664B"/>
    <w:rsid w:val="007071B8"/>
    <w:rsid w:val="0071149E"/>
    <w:rsid w:val="007155C2"/>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9698A"/>
    <w:rsid w:val="008A640A"/>
    <w:rsid w:val="008C0149"/>
    <w:rsid w:val="008C5828"/>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56D8F"/>
    <w:rsid w:val="00D61063"/>
    <w:rsid w:val="00DB35AF"/>
    <w:rsid w:val="00DB6E42"/>
    <w:rsid w:val="00DC57C5"/>
    <w:rsid w:val="00DD72D7"/>
    <w:rsid w:val="00DF5B88"/>
    <w:rsid w:val="00E04A7D"/>
    <w:rsid w:val="00E0589E"/>
    <w:rsid w:val="00E0697F"/>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711A"/>
    <w:rsid w:val="00F80C72"/>
    <w:rsid w:val="00FA0D58"/>
    <w:rsid w:val="00FA1580"/>
    <w:rsid w:val="00FA56F4"/>
    <w:rsid w:val="00FB4EDA"/>
    <w:rsid w:val="00FD3BD5"/>
    <w:rsid w:val="00FE3DC8"/>
    <w:rsid w:val="00FF4331"/>
    <w:rsid w:val="013F747B"/>
    <w:rsid w:val="04073F84"/>
    <w:rsid w:val="058F1083"/>
    <w:rsid w:val="07267517"/>
    <w:rsid w:val="0B60750A"/>
    <w:rsid w:val="10686488"/>
    <w:rsid w:val="10DF728A"/>
    <w:rsid w:val="1264200E"/>
    <w:rsid w:val="13D60F6E"/>
    <w:rsid w:val="141C5B77"/>
    <w:rsid w:val="18D8339D"/>
    <w:rsid w:val="1A1739F8"/>
    <w:rsid w:val="1A21388F"/>
    <w:rsid w:val="1A570D2F"/>
    <w:rsid w:val="1F7D5E71"/>
    <w:rsid w:val="201443EF"/>
    <w:rsid w:val="20C32A72"/>
    <w:rsid w:val="28FB0B8D"/>
    <w:rsid w:val="2B336CA5"/>
    <w:rsid w:val="2BED656D"/>
    <w:rsid w:val="2D1677DB"/>
    <w:rsid w:val="2D2B7942"/>
    <w:rsid w:val="2D46481D"/>
    <w:rsid w:val="2D8A0EB9"/>
    <w:rsid w:val="2E733B28"/>
    <w:rsid w:val="300D5DB3"/>
    <w:rsid w:val="31852B5A"/>
    <w:rsid w:val="3196798E"/>
    <w:rsid w:val="31A53CAE"/>
    <w:rsid w:val="32D01238"/>
    <w:rsid w:val="36B40CB7"/>
    <w:rsid w:val="38C94D45"/>
    <w:rsid w:val="3BCF68EF"/>
    <w:rsid w:val="3DFC59A8"/>
    <w:rsid w:val="3ECF245E"/>
    <w:rsid w:val="3FB96314"/>
    <w:rsid w:val="3FD032B4"/>
    <w:rsid w:val="41FF31A3"/>
    <w:rsid w:val="45AC18DC"/>
    <w:rsid w:val="4A54204A"/>
    <w:rsid w:val="53A44FAF"/>
    <w:rsid w:val="541B2D65"/>
    <w:rsid w:val="55254BDE"/>
    <w:rsid w:val="594329EC"/>
    <w:rsid w:val="595804D1"/>
    <w:rsid w:val="5BEE1540"/>
    <w:rsid w:val="5D98148B"/>
    <w:rsid w:val="5DE61A5D"/>
    <w:rsid w:val="62864265"/>
    <w:rsid w:val="63C04243"/>
    <w:rsid w:val="649C01C7"/>
    <w:rsid w:val="699A3F60"/>
    <w:rsid w:val="6C0776E8"/>
    <w:rsid w:val="6D3A43D2"/>
    <w:rsid w:val="6F495219"/>
    <w:rsid w:val="72902E62"/>
    <w:rsid w:val="732B05A5"/>
    <w:rsid w:val="73BA78F6"/>
    <w:rsid w:val="73C61104"/>
    <w:rsid w:val="753A1BF5"/>
    <w:rsid w:val="75FC55EB"/>
    <w:rsid w:val="76563639"/>
    <w:rsid w:val="776452EA"/>
    <w:rsid w:val="78192EE6"/>
    <w:rsid w:val="7DC663B9"/>
    <w:rsid w:val="7DD121CA"/>
    <w:rsid w:val="7F1139C4"/>
    <w:rsid w:val="7F172DFD"/>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semiHidden/>
    <w:unhideWhenUsed/>
    <w:qFormat/>
    <w:uiPriority w:val="99"/>
    <w:rPr>
      <w:rFonts w:ascii="宋体"/>
      <w:sz w:val="18"/>
      <w:szCs w:val="18"/>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character" w:customStyle="1" w:styleId="34">
    <w:name w:val="文档结构图 Char"/>
    <w:basedOn w:val="15"/>
    <w:link w:val="6"/>
    <w:semiHidden/>
    <w:qFormat/>
    <w:uiPriority w:val="99"/>
    <w:rPr>
      <w:rFonts w:ascii="宋体"/>
      <w:kern w:val="2"/>
      <w:sz w:val="18"/>
      <w:szCs w:val="18"/>
    </w:rPr>
  </w:style>
  <w:style w:type="paragraph" w:customStyle="1" w:styleId="35">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0D72AE38-3B40-4C01-9CCD-2CA0EFF860E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1145</Words>
  <Characters>6533</Characters>
  <Lines>54</Lines>
  <Paragraphs>15</Paragraphs>
  <TotalTime>20</TotalTime>
  <ScaleCrop>false</ScaleCrop>
  <LinksUpToDate>false</LinksUpToDate>
  <CharactersWithSpaces>7663</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cp:lastModifiedBy>
  <cp:lastPrinted>2019-09-27T00:42:00Z</cp:lastPrinted>
  <dcterms:modified xsi:type="dcterms:W3CDTF">2021-05-27T03:09:03Z</dcterms:modified>
  <dc:subject>石家庄市xxx部门</dc:subject>
  <dc:title>2017年度部门决算</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y fmtid="{D5CDD505-2E9C-101B-9397-08002B2CF9AE}" pid="3" name="ICV">
    <vt:lpwstr>79B3EB12C7224A7C82B9CCA56624A3F0</vt:lpwstr>
  </property>
</Properties>
</file>